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D2D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kern w:val="0"/>
          <w:sz w:val="28"/>
          <w:szCs w:val="28"/>
          <w:lang w:eastAsia="zh-CN"/>
        </w:rPr>
        <w:t>佳能彩超维保服务需求参数</w:t>
      </w:r>
    </w:p>
    <w:tbl>
      <w:tblPr>
        <w:tblStyle w:val="7"/>
        <w:tblW w:w="8315"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724"/>
        <w:gridCol w:w="6375"/>
      </w:tblGrid>
      <w:tr w14:paraId="6725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5" w:type="dxa"/>
            <w:gridSpan w:val="3"/>
            <w:tcBorders>
              <w:bottom w:val="single" w:color="000000" w:sz="4" w:space="0"/>
            </w:tcBorders>
            <w:shd w:val="clear" w:color="auto" w:fill="auto"/>
            <w:noWrap/>
            <w:vAlign w:val="center"/>
          </w:tcPr>
          <w:p w14:paraId="1ED4A253">
            <w:pPr>
              <w:keepNext w:val="0"/>
              <w:keepLines w:val="0"/>
              <w:widowControl/>
              <w:suppressLineNumbers w:val="0"/>
              <w:spacing w:line="360" w:lineRule="auto"/>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r>
              <w:rPr>
                <w:rFonts w:hint="eastAsia"/>
                <w:b/>
                <w:bCs/>
                <w:lang w:val="en-US" w:eastAsia="zh-CN"/>
              </w:rPr>
              <w:t>一、项目要求及技术需求</w:t>
            </w:r>
          </w:p>
        </w:tc>
      </w:tr>
      <w:tr w14:paraId="5DA86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tcBorders>
              <w:top w:val="single" w:color="000000" w:sz="4" w:space="0"/>
              <w:bottom w:val="single" w:color="000000" w:sz="4" w:space="0"/>
              <w:right w:val="single" w:color="000000" w:sz="4" w:space="0"/>
            </w:tcBorders>
            <w:shd w:val="clear" w:color="auto" w:fill="auto"/>
            <w:noWrap/>
            <w:vAlign w:val="center"/>
          </w:tcPr>
          <w:p w14:paraId="6C31322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b/>
                <w:bCs/>
                <w:lang w:val="en-US" w:eastAsia="zh-CN"/>
              </w:rPr>
              <w:t>服务名称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AEE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b/>
                <w:bCs/>
                <w:lang w:val="en-US" w:eastAsia="zh-CN"/>
              </w:rPr>
              <w:t>数量</w:t>
            </w:r>
          </w:p>
        </w:tc>
        <w:tc>
          <w:tcPr>
            <w:tcW w:w="6375" w:type="dxa"/>
            <w:tcBorders>
              <w:top w:val="single" w:color="000000" w:sz="4" w:space="0"/>
              <w:left w:val="single" w:color="000000" w:sz="4" w:space="0"/>
              <w:bottom w:val="single" w:color="000000" w:sz="4" w:space="0"/>
            </w:tcBorders>
            <w:shd w:val="clear" w:color="auto" w:fill="auto"/>
            <w:noWrap/>
            <w:vAlign w:val="center"/>
          </w:tcPr>
          <w:p w14:paraId="0393851F">
            <w:pPr>
              <w:keepNext w:val="0"/>
              <w:keepLines w:val="0"/>
              <w:widowControl/>
              <w:suppressLineNumbers w:val="0"/>
              <w:spacing w:line="360" w:lineRule="auto"/>
              <w:jc w:val="center"/>
              <w:textAlignment w:val="center"/>
              <w:rPr>
                <w:rFonts w:hint="eastAsia" w:ascii="宋体" w:hAnsi="宋体" w:cs="宋体" w:eastAsiaTheme="minorEastAsia"/>
                <w:b/>
                <w:bCs/>
                <w:i w:val="0"/>
                <w:iCs w:val="0"/>
                <w:color w:val="000000"/>
                <w:kern w:val="2"/>
                <w:sz w:val="22"/>
                <w:szCs w:val="22"/>
                <w:u w:val="none"/>
                <w:lang w:val="en-US" w:eastAsia="zh-CN" w:bidi="ar-SA"/>
              </w:rPr>
            </w:pPr>
            <w:r>
              <w:rPr>
                <w:rFonts w:hint="eastAsia"/>
                <w:b/>
                <w:bCs/>
                <w:lang w:eastAsia="zh-CN"/>
              </w:rPr>
              <w:t>项目需求</w:t>
            </w:r>
          </w:p>
        </w:tc>
      </w:tr>
      <w:tr w14:paraId="57C31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restart"/>
            <w:tcBorders>
              <w:top w:val="single" w:color="000000" w:sz="4" w:space="0"/>
              <w:right w:val="single" w:color="000000" w:sz="4" w:space="0"/>
            </w:tcBorders>
            <w:shd w:val="clear" w:color="auto" w:fill="auto"/>
            <w:noWrap/>
            <w:vAlign w:val="center"/>
          </w:tcPr>
          <w:p w14:paraId="761A0C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b/>
                <w:bCs/>
                <w:lang w:eastAsia="zh-CN"/>
              </w:rPr>
              <w:t>彩超维保服务</w:t>
            </w:r>
          </w:p>
        </w:tc>
        <w:tc>
          <w:tcPr>
            <w:tcW w:w="724" w:type="dxa"/>
            <w:vMerge w:val="restart"/>
            <w:tcBorders>
              <w:top w:val="single" w:color="000000" w:sz="4" w:space="0"/>
              <w:left w:val="single" w:color="000000" w:sz="4" w:space="0"/>
              <w:right w:val="single" w:color="000000" w:sz="4" w:space="0"/>
            </w:tcBorders>
            <w:shd w:val="clear" w:color="auto" w:fill="auto"/>
            <w:noWrap/>
            <w:vAlign w:val="center"/>
          </w:tcPr>
          <w:p w14:paraId="2282948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1项</w:t>
            </w:r>
          </w:p>
        </w:tc>
        <w:tc>
          <w:tcPr>
            <w:tcW w:w="6375" w:type="dxa"/>
            <w:tcBorders>
              <w:top w:val="single" w:color="000000" w:sz="4" w:space="0"/>
              <w:left w:val="single" w:color="000000" w:sz="4" w:space="0"/>
              <w:bottom w:val="single" w:color="000000" w:sz="4" w:space="0"/>
            </w:tcBorders>
            <w:shd w:val="clear" w:color="auto" w:fill="auto"/>
            <w:noWrap/>
            <w:vAlign w:val="center"/>
          </w:tcPr>
          <w:p w14:paraId="649D86E2">
            <w:pPr>
              <w:keepNext w:val="0"/>
              <w:keepLines w:val="0"/>
              <w:widowControl/>
              <w:suppressLineNumbers w:val="0"/>
              <w:spacing w:line="360" w:lineRule="auto"/>
              <w:jc w:val="both"/>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一、维保设备：佳能APLIO 500 TUS-A500超声2台（含探头8把）、佳能APLIO i800 TUS-AI800 超声1台（含探头3把），合计3台（含探头11把）。具体如下：</w:t>
            </w:r>
          </w:p>
          <w:p w14:paraId="39730621">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（一）佳能APLIO 500 TUS-A500彩超主机（序列号：W5G1783694）                            PVT-375BT腹部探头（序列号：FSA1772045）       </w:t>
            </w:r>
          </w:p>
          <w:p w14:paraId="1B7361E7">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PLT-1005BT线阵探头（序列号：FSD2273485）        </w:t>
            </w:r>
          </w:p>
          <w:p w14:paraId="76ECBEB3">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PST-30BT相控阵探头（序列号：99B1782162）      </w:t>
            </w:r>
          </w:p>
          <w:p w14:paraId="5BEB724A">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PVT-781VT阴超探头（序列号：FSB1756274）</w:t>
            </w:r>
          </w:p>
          <w:p w14:paraId="2F97512F">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（二）佳能APLIO 500 TUS-A500彩超主机（序列号：W5G1783693）                            PVT-375BT腹部探头（序列号：FSC2163878）       </w:t>
            </w:r>
          </w:p>
          <w:p w14:paraId="15E75952">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PLT-1005BT线阵探头（序列号：FSB1784997）        </w:t>
            </w:r>
          </w:p>
          <w:p w14:paraId="7972A597">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PST-30BT相控阵探头（序列号：99B1782163）      </w:t>
            </w:r>
          </w:p>
          <w:p w14:paraId="2D6161FF">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PVT-781VT阴超探头（序列号：FSB1756275）</w:t>
            </w:r>
          </w:p>
          <w:p w14:paraId="0F882FBD">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（三）佳能APLIO i800 TUS-AI800彩超主机（序列号：ZHB20Y2194）                            PVI-475BX腹部探头（序列号：FSB2-X6801）       </w:t>
            </w:r>
          </w:p>
          <w:p w14:paraId="0437E878">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PLI-1205BX线阵探头（序列号：FSC2065742）  </w:t>
            </w:r>
          </w:p>
          <w:p w14:paraId="2DB52B4B">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PVT-781VTE阴超探头（序列号：FSB1973919） </w:t>
            </w:r>
          </w:p>
        </w:tc>
      </w:tr>
      <w:tr w14:paraId="1FF3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6B406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bottom"/>
          </w:tcPr>
          <w:p w14:paraId="5A98B4CB">
            <w:pPr>
              <w:keepNext w:val="0"/>
              <w:keepLines w:val="0"/>
              <w:widowControl/>
              <w:suppressLineNumbers w:val="0"/>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p>
        </w:tc>
        <w:tc>
          <w:tcPr>
            <w:tcW w:w="6375" w:type="dxa"/>
            <w:tcBorders>
              <w:top w:val="single" w:color="000000" w:sz="4" w:space="0"/>
              <w:left w:val="single" w:color="000000" w:sz="4" w:space="0"/>
              <w:bottom w:val="single" w:color="000000" w:sz="4" w:space="0"/>
            </w:tcBorders>
            <w:shd w:val="clear" w:color="auto" w:fill="auto"/>
            <w:vAlign w:val="bottom"/>
          </w:tcPr>
          <w:p w14:paraId="0FF9D39D">
            <w:pPr>
              <w:keepNext w:val="0"/>
              <w:keepLines w:val="0"/>
              <w:widowControl/>
              <w:suppressLineNumbers w:val="0"/>
              <w:spacing w:line="360" w:lineRule="auto"/>
              <w:jc w:val="left"/>
              <w:textAlignment w:val="bottom"/>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二、维保期限：3年</w:t>
            </w:r>
          </w:p>
        </w:tc>
      </w:tr>
      <w:tr w14:paraId="747D5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4A0B63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bottom"/>
          </w:tcPr>
          <w:p w14:paraId="337D1A51">
            <w:pPr>
              <w:keepNext w:val="0"/>
              <w:keepLines w:val="0"/>
              <w:widowControl/>
              <w:suppressLineNumbers w:val="0"/>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p>
        </w:tc>
        <w:tc>
          <w:tcPr>
            <w:tcW w:w="6375" w:type="dxa"/>
            <w:tcBorders>
              <w:top w:val="single" w:color="000000" w:sz="4" w:space="0"/>
              <w:left w:val="single" w:color="000000" w:sz="4" w:space="0"/>
              <w:bottom w:val="single" w:color="000000" w:sz="4" w:space="0"/>
            </w:tcBorders>
            <w:shd w:val="clear" w:color="auto" w:fill="auto"/>
            <w:vAlign w:val="bottom"/>
          </w:tcPr>
          <w:p w14:paraId="6C66C338">
            <w:pPr>
              <w:keepNext w:val="0"/>
              <w:keepLines w:val="0"/>
              <w:widowControl/>
              <w:suppressLineNumbers w:val="0"/>
              <w:spacing w:line="360" w:lineRule="auto"/>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三、维保范围：整机含探头全保，包含所有配件更换及人工服务</w:t>
            </w:r>
          </w:p>
        </w:tc>
      </w:tr>
      <w:tr w14:paraId="6CAFF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242923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center"/>
          </w:tcPr>
          <w:p w14:paraId="1AE0C230">
            <w:pPr>
              <w:keepNext w:val="0"/>
              <w:keepLines w:val="0"/>
              <w:widowControl/>
              <w:suppressLineNumbers w:val="0"/>
              <w:spacing w:line="360" w:lineRule="auto"/>
              <w:jc w:val="both"/>
              <w:textAlignment w:val="center"/>
              <w:rPr>
                <w:rFonts w:hint="eastAsia" w:ascii="宋体" w:hAnsi="宋体" w:eastAsia="宋体" w:cs="宋体"/>
                <w:b/>
                <w:bCs/>
                <w:i w:val="0"/>
                <w:iCs w:val="0"/>
                <w:color w:val="000000"/>
                <w:kern w:val="0"/>
                <w:sz w:val="21"/>
                <w:szCs w:val="21"/>
                <w:u w:val="none"/>
                <w:lang w:val="en-US" w:eastAsia="zh-CN" w:bidi="ar"/>
              </w:rPr>
            </w:pPr>
          </w:p>
        </w:tc>
        <w:tc>
          <w:tcPr>
            <w:tcW w:w="6375" w:type="dxa"/>
            <w:tcBorders>
              <w:top w:val="single" w:color="000000" w:sz="4" w:space="0"/>
              <w:left w:val="single" w:color="000000" w:sz="4" w:space="0"/>
            </w:tcBorders>
            <w:shd w:val="clear" w:color="auto" w:fill="auto"/>
            <w:vAlign w:val="center"/>
          </w:tcPr>
          <w:p w14:paraId="6B512F00">
            <w:pPr>
              <w:pStyle w:val="12"/>
              <w:keepNext w:val="0"/>
              <w:keepLines w:val="0"/>
              <w:widowControl/>
              <w:numPr>
                <w:ilvl w:val="0"/>
                <w:numId w:val="0"/>
              </w:numPr>
              <w:suppressLineNumbers w:val="0"/>
              <w:tabs>
                <w:tab w:val="left" w:pos="0"/>
              </w:tabs>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四、维保服务内容</w:t>
            </w:r>
          </w:p>
          <w:p w14:paraId="77915E13">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1、服务期内，接到医院故障通知时随叫随到，全天候电话响应，响应时间≤1小时，应在24小时内到达现场。</w:t>
            </w:r>
          </w:p>
          <w:p w14:paraId="4253D695">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Cs w:val="21"/>
                <w:highlight w:val="none"/>
                <w:lang w:val="en-US" w:eastAsia="zh-CN"/>
              </w:rPr>
              <w:t>开机率确保达到≥95%，按全年365天计算，即设备全年停机时间不高于18天。停机时间高于18天的，停机每超1天（不足1天的，按1天计算），维保时间顺延2天，维保顺延所产生的费用由供应商自行承担，采购人不再另行支付。</w:t>
            </w:r>
          </w:p>
          <w:p w14:paraId="485C2FCA">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Cs w:val="21"/>
                <w:highlight w:val="none"/>
                <w:lang w:val="en-US" w:eastAsia="zh-CN"/>
              </w:rPr>
              <w:t>3、如采购人需开展</w:t>
            </w:r>
            <w:r>
              <w:rPr>
                <w:rFonts w:hint="eastAsia" w:ascii="宋体" w:hAnsi="宋体" w:eastAsia="宋体" w:cs="宋体"/>
                <w:i w:val="0"/>
                <w:iCs w:val="0"/>
                <w:color w:val="000000"/>
                <w:kern w:val="0"/>
                <w:sz w:val="21"/>
                <w:szCs w:val="21"/>
                <w:u w:val="none"/>
                <w:lang w:val="en-US" w:eastAsia="zh-CN" w:bidi="ar"/>
              </w:rPr>
              <w:t>质控检测，投标人承诺专职工程师够现场待命，提供技术服务支持。</w:t>
            </w:r>
          </w:p>
          <w:p w14:paraId="06D6B22A">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服务期</w:t>
            </w:r>
            <w:r>
              <w:rPr>
                <w:rFonts w:hint="eastAsia" w:ascii="宋体" w:hAnsi="宋体" w:eastAsia="宋体" w:cs="宋体"/>
                <w:i w:val="0"/>
                <w:iCs w:val="0"/>
                <w:color w:val="000000"/>
                <w:kern w:val="0"/>
                <w:sz w:val="21"/>
                <w:szCs w:val="21"/>
                <w:highlight w:val="none"/>
                <w:u w:val="none"/>
                <w:lang w:val="en-US" w:eastAsia="zh-CN" w:bidi="ar"/>
              </w:rPr>
              <w:t>内，每年提供设备定期维护及保养≥4次（其中至少包含一次深度保养，对维保超声开展预防性维护及易损件换新）。</w:t>
            </w:r>
          </w:p>
          <w:p w14:paraId="00E70227">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（1）计划性定期的维修服务检测包括设备清洁、性能测试及校准、必要的机械或电气的检查，</w:t>
            </w:r>
            <w:r>
              <w:rPr>
                <w:rFonts w:hint="eastAsia" w:ascii="宋体" w:hAnsi="宋体" w:eastAsia="宋体" w:cs="宋体"/>
                <w:i w:val="0"/>
                <w:iCs w:val="0"/>
                <w:color w:val="000000"/>
                <w:kern w:val="0"/>
                <w:sz w:val="21"/>
                <w:szCs w:val="21"/>
                <w:u w:val="none"/>
                <w:lang w:val="en-US" w:eastAsia="zh-CN" w:bidi="ar"/>
              </w:rPr>
              <w:t>以及非紧急性质的补救性维修，并定期对设备的数据进行备份，确保系统能按照制造商的产品规格运行的标准来维修。</w:t>
            </w:r>
          </w:p>
          <w:p w14:paraId="7606E6DC">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设备定期保养包含但不限于如下项目：设备清洁、系统性能测试及校准、必要的电气环境检测等。定期维护服务间隔进行，具体内容包括：①系统基本情况检查；②图像质量检查；③探头使用情况检查；④软件等。</w:t>
            </w:r>
          </w:p>
          <w:p w14:paraId="18D5781B">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5、服务商承诺服务期间内更换的配件均为原厂全新配件（特别要求探头必须为全新原厂探头，探头更换前需提供合规渠道购置证明）。</w:t>
            </w:r>
          </w:p>
          <w:p w14:paraId="729B0019">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6、投标人承诺每年服务结束后，提交当年维护保养报告，并提供年度维修报告。</w:t>
            </w:r>
          </w:p>
          <w:p w14:paraId="168489A2">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eastAsia="宋体"/>
                <w:lang w:val="en-US" w:eastAsia="zh-CN"/>
              </w:rPr>
              <w:t>投标人承诺提供</w:t>
            </w:r>
            <w:r>
              <w:rPr>
                <w:rFonts w:hint="eastAsia" w:ascii="宋体" w:hAnsi="宋体" w:eastAsia="宋体"/>
              </w:rPr>
              <w:t>24小时×7天的电话支持服务</w:t>
            </w:r>
            <w:r>
              <w:rPr>
                <w:rFonts w:hint="eastAsia" w:ascii="宋体" w:hAnsi="宋体" w:eastAsia="宋体" w:cs="宋体"/>
                <w:i w:val="0"/>
                <w:iCs w:val="0"/>
                <w:color w:val="000000"/>
                <w:kern w:val="0"/>
                <w:sz w:val="21"/>
                <w:szCs w:val="21"/>
                <w:u w:val="none"/>
                <w:lang w:val="en-US" w:eastAsia="zh-CN" w:bidi="ar"/>
              </w:rPr>
              <w:t>。</w:t>
            </w:r>
          </w:p>
          <w:p w14:paraId="7B41382B">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color w:val="000000"/>
                <w:szCs w:val="21"/>
                <w:highlight w:val="none"/>
                <w:lang w:val="en-US" w:eastAsia="zh-CN"/>
              </w:rPr>
            </w:pPr>
            <w:r>
              <w:rPr>
                <w:rFonts w:hint="eastAsia" w:ascii="宋体" w:hAnsi="宋体" w:eastAsia="宋体"/>
                <w:lang w:val="en-US" w:eastAsia="zh-CN"/>
              </w:rPr>
              <w:t>8、</w:t>
            </w:r>
            <w:r>
              <w:rPr>
                <w:rFonts w:hint="eastAsia" w:ascii="宋体" w:hAnsi="宋体" w:eastAsia="宋体" w:cs="宋体"/>
                <w:color w:val="000000"/>
                <w:szCs w:val="21"/>
                <w:highlight w:val="none"/>
                <w:lang w:val="en-US" w:eastAsia="zh-CN"/>
              </w:rPr>
              <w:t>合同期内，如厂家有改良软件，成交投标人为采购人完成相应升级，费用包含在本次报价中。</w:t>
            </w:r>
          </w:p>
          <w:p w14:paraId="57B8C1BB">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rPr>
            </w:pPr>
            <w:r>
              <w:rPr>
                <w:rFonts w:hint="eastAsia" w:ascii="宋体" w:hAnsi="宋体" w:eastAsia="宋体"/>
                <w:lang w:val="en-US" w:eastAsia="zh-CN"/>
              </w:rPr>
              <w:t>9、投标人提供不少于2名具有厂家培训资质的工程师</w:t>
            </w:r>
            <w:r>
              <w:rPr>
                <w:rFonts w:hint="eastAsia" w:ascii="宋体" w:hAnsi="宋体" w:eastAsia="宋体"/>
              </w:rPr>
              <w:t>负责</w:t>
            </w:r>
            <w:r>
              <w:rPr>
                <w:rFonts w:hint="eastAsia" w:ascii="宋体" w:hAnsi="宋体" w:eastAsia="宋体"/>
                <w:lang w:val="en-US" w:eastAsia="zh-CN"/>
              </w:rPr>
              <w:t>本维保服务</w:t>
            </w:r>
            <w:r>
              <w:rPr>
                <w:rFonts w:hint="eastAsia" w:ascii="宋体" w:hAnsi="宋体" w:eastAsia="宋体"/>
              </w:rPr>
              <w:t>工作</w:t>
            </w:r>
            <w:r>
              <w:rPr>
                <w:rFonts w:hint="eastAsia" w:ascii="宋体" w:hAnsi="宋体" w:eastAsia="宋体"/>
                <w:lang w:eastAsia="zh-CN"/>
              </w:rPr>
              <w:t>（提供厂家培训证书）</w:t>
            </w:r>
            <w:r>
              <w:rPr>
                <w:rFonts w:hint="eastAsia" w:ascii="宋体" w:hAnsi="宋体" w:eastAsia="宋体"/>
              </w:rPr>
              <w:t>。如工程师有变更，</w:t>
            </w:r>
            <w:r>
              <w:rPr>
                <w:rFonts w:hint="eastAsia" w:ascii="宋体" w:hAnsi="宋体" w:eastAsia="宋体"/>
                <w:lang w:val="en-US" w:eastAsia="zh-CN"/>
              </w:rPr>
              <w:t>投标人需在变更后的7个工作日内以书面形式提交更换工程师备案表至采购人（格式自拟）</w:t>
            </w:r>
            <w:r>
              <w:rPr>
                <w:rFonts w:hint="eastAsia" w:ascii="宋体" w:hAnsi="宋体" w:eastAsia="宋体"/>
              </w:rPr>
              <w:t>。</w:t>
            </w:r>
            <w:bookmarkStart w:id="6" w:name="_GoBack"/>
            <w:bookmarkEnd w:id="6"/>
          </w:p>
          <w:p w14:paraId="12E6DDF8">
            <w:pPr>
              <w:pStyle w:val="12"/>
              <w:keepNext w:val="0"/>
              <w:keepLines w:val="0"/>
              <w:widowControl/>
              <w:numPr>
                <w:ilvl w:val="0"/>
                <w:numId w:val="0"/>
              </w:numPr>
              <w:suppressLineNumbers w:val="0"/>
              <w:tabs>
                <w:tab w:val="left" w:pos="0"/>
              </w:tabs>
              <w:spacing w:line="360" w:lineRule="auto"/>
              <w:jc w:val="both"/>
              <w:textAlignment w:val="center"/>
              <w:rPr>
                <w:rFonts w:hint="default" w:ascii="宋体" w:hAnsi="宋体" w:eastAsia="宋体"/>
                <w:lang w:val="en-US" w:eastAsia="zh-CN"/>
              </w:rPr>
            </w:pPr>
            <w:r>
              <w:rPr>
                <w:rFonts w:hint="eastAsia" w:ascii="宋体" w:hAnsi="宋体" w:eastAsia="宋体"/>
                <w:lang w:val="en-US" w:eastAsia="zh-CN"/>
              </w:rPr>
              <w:t>10、</w:t>
            </w:r>
            <w:r>
              <w:rPr>
                <w:rFonts w:hint="eastAsia" w:ascii="宋体" w:hAnsi="宋体" w:eastAsia="宋体" w:cs="宋体"/>
                <w:i w:val="0"/>
                <w:iCs w:val="0"/>
                <w:color w:val="000000"/>
                <w:kern w:val="0"/>
                <w:sz w:val="21"/>
                <w:szCs w:val="21"/>
                <w:u w:val="none"/>
                <w:lang w:val="en-US" w:eastAsia="zh-CN" w:bidi="ar"/>
              </w:rPr>
              <w:t>合同期内，服务商对采购人选送的相关人员提供标准培训。提供1人次/年的相关设备标准培训（医院工程师培训）。</w:t>
            </w:r>
          </w:p>
          <w:p w14:paraId="108B8ECD">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eastAsia="宋体"/>
                <w:lang w:val="en-US" w:eastAsia="zh-CN"/>
              </w:rPr>
              <w:t>服务期间，所有</w:t>
            </w:r>
            <w:r>
              <w:rPr>
                <w:rFonts w:hint="eastAsia" w:ascii="宋体" w:hAnsi="宋体" w:eastAsia="宋体" w:cs="宋体"/>
                <w:i w:val="0"/>
                <w:iCs w:val="0"/>
                <w:color w:val="000000"/>
                <w:kern w:val="0"/>
                <w:sz w:val="21"/>
                <w:szCs w:val="21"/>
                <w:u w:val="none"/>
                <w:lang w:val="en-US" w:eastAsia="zh-CN" w:bidi="ar"/>
              </w:rPr>
              <w:t>更换的零配件费用以及人工费、差旅费等，全部由中标人承担，零配件更换数量不受限制。</w:t>
            </w:r>
          </w:p>
          <w:p w14:paraId="29AFE318">
            <w:pPr>
              <w:pStyle w:val="12"/>
              <w:keepNext w:val="0"/>
              <w:keepLines w:val="0"/>
              <w:widowControl/>
              <w:numPr>
                <w:ilvl w:val="0"/>
                <w:numId w:val="0"/>
              </w:numPr>
              <w:suppressLineNumbers w:val="0"/>
              <w:tabs>
                <w:tab w:val="left" w:pos="0"/>
              </w:tabs>
              <w:spacing w:line="36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设备维保期内，中标商严格按照说明书要求对产品进行维修、维护和保养等，若设备已达到“预期使用有效期”，中标商每年负责组织设备“注册人”对该设备进行评估1次，并出具“注册人”认可的设备临床使用安全有效，可继续使用的相关证明。相关费用包含在报价中。</w:t>
            </w:r>
          </w:p>
        </w:tc>
      </w:tr>
    </w:tbl>
    <w:p w14:paraId="147DA3DD">
      <w:pPr>
        <w:sectPr>
          <w:pgSz w:w="11906" w:h="16838"/>
          <w:pgMar w:top="1440" w:right="1800" w:bottom="1440" w:left="1800" w:header="851" w:footer="992" w:gutter="0"/>
          <w:cols w:space="425" w:num="1"/>
          <w:docGrid w:type="lines" w:linePitch="312" w:charSpace="0"/>
        </w:sectPr>
      </w:pPr>
    </w:p>
    <w:p w14:paraId="39A58CEA">
      <w:pPr>
        <w:pStyle w:val="12"/>
        <w:ind w:firstLine="0" w:firstLineChars="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富士内镜维保服务需求参数</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1114"/>
        <w:gridCol w:w="808"/>
        <w:gridCol w:w="7327"/>
      </w:tblGrid>
      <w:tr w14:paraId="458F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286C4817">
            <w:pPr>
              <w:pStyle w:val="4"/>
              <w:snapToGrid w:val="0"/>
              <w:spacing w:line="400" w:lineRule="exact"/>
              <w:outlineLvl w:val="0"/>
              <w:rPr>
                <w:rFonts w:hint="eastAsia" w:hAnsi="宋体" w:eastAsia="宋体" w:cs="宋体"/>
                <w:b/>
              </w:rPr>
            </w:pPr>
            <w:bookmarkStart w:id="0" w:name="_Toc11197"/>
            <w:r>
              <w:rPr>
                <w:rFonts w:hint="eastAsia" w:hAnsi="宋体" w:eastAsia="宋体" w:cs="宋体"/>
                <w:lang w:eastAsia="zh-CN"/>
              </w:rPr>
              <w:t>▲</w:t>
            </w:r>
            <w:r>
              <w:rPr>
                <w:rFonts w:hint="eastAsia" w:hAnsi="宋体" w:eastAsia="宋体" w:cs="宋体"/>
                <w:b/>
              </w:rPr>
              <w:t>一、项目要求及服务</w:t>
            </w:r>
            <w:bookmarkEnd w:id="0"/>
          </w:p>
        </w:tc>
      </w:tr>
      <w:tr w14:paraId="77AA7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51B0C226">
            <w:pPr>
              <w:pStyle w:val="4"/>
              <w:snapToGrid w:val="0"/>
              <w:spacing w:line="400" w:lineRule="exact"/>
              <w:jc w:val="center"/>
              <w:outlineLvl w:val="0"/>
              <w:rPr>
                <w:rFonts w:hint="eastAsia" w:hAnsi="宋体" w:eastAsia="宋体" w:cs="宋体"/>
              </w:rPr>
            </w:pPr>
            <w:bookmarkStart w:id="1" w:name="_Toc15347"/>
            <w:r>
              <w:rPr>
                <w:rFonts w:hint="eastAsia" w:hAnsi="宋体" w:eastAsia="宋体" w:cs="宋体"/>
              </w:rPr>
              <w:t>序号</w:t>
            </w:r>
            <w:bookmarkEnd w:id="1"/>
          </w:p>
        </w:tc>
        <w:tc>
          <w:tcPr>
            <w:tcW w:w="1114" w:type="dxa"/>
            <w:tcBorders>
              <w:top w:val="single" w:color="auto" w:sz="4" w:space="0"/>
              <w:left w:val="single" w:color="auto" w:sz="4" w:space="0"/>
              <w:bottom w:val="single" w:color="auto" w:sz="4" w:space="0"/>
              <w:right w:val="single" w:color="auto" w:sz="4" w:space="0"/>
            </w:tcBorders>
            <w:noWrap w:val="0"/>
            <w:vAlign w:val="center"/>
          </w:tcPr>
          <w:p w14:paraId="41267F34">
            <w:pPr>
              <w:pStyle w:val="4"/>
              <w:snapToGrid w:val="0"/>
              <w:spacing w:line="400" w:lineRule="exact"/>
              <w:jc w:val="center"/>
              <w:outlineLvl w:val="0"/>
              <w:rPr>
                <w:rFonts w:hint="eastAsia" w:hAnsi="宋体" w:eastAsia="宋体" w:cs="宋体"/>
              </w:rPr>
            </w:pPr>
            <w:bookmarkStart w:id="2" w:name="_Toc27198"/>
            <w:r>
              <w:rPr>
                <w:rFonts w:hint="eastAsia" w:hAnsi="宋体" w:eastAsia="宋体" w:cs="宋体"/>
              </w:rPr>
              <w:t>服务名称</w:t>
            </w:r>
            <w:bookmarkEnd w:id="2"/>
          </w:p>
        </w:tc>
        <w:tc>
          <w:tcPr>
            <w:tcW w:w="808" w:type="dxa"/>
            <w:tcBorders>
              <w:top w:val="single" w:color="auto" w:sz="4" w:space="0"/>
              <w:left w:val="single" w:color="auto" w:sz="4" w:space="0"/>
              <w:bottom w:val="single" w:color="auto" w:sz="4" w:space="0"/>
              <w:right w:val="single" w:color="auto" w:sz="4" w:space="0"/>
            </w:tcBorders>
            <w:noWrap w:val="0"/>
            <w:vAlign w:val="center"/>
          </w:tcPr>
          <w:p w14:paraId="731A3F10">
            <w:pPr>
              <w:pStyle w:val="4"/>
              <w:snapToGrid w:val="0"/>
              <w:spacing w:line="400" w:lineRule="exact"/>
              <w:jc w:val="center"/>
              <w:outlineLvl w:val="0"/>
              <w:rPr>
                <w:rFonts w:hint="eastAsia" w:hAnsi="宋体" w:eastAsia="宋体" w:cs="宋体"/>
              </w:rPr>
            </w:pPr>
            <w:bookmarkStart w:id="3" w:name="_Toc31365"/>
            <w:r>
              <w:rPr>
                <w:rFonts w:hint="eastAsia" w:hAnsi="宋体" w:eastAsia="宋体" w:cs="宋体"/>
              </w:rPr>
              <w:t>数量</w:t>
            </w:r>
            <w:bookmarkEnd w:id="3"/>
          </w:p>
        </w:tc>
        <w:tc>
          <w:tcPr>
            <w:tcW w:w="7327" w:type="dxa"/>
            <w:tcBorders>
              <w:top w:val="single" w:color="auto" w:sz="4" w:space="0"/>
              <w:left w:val="single" w:color="auto" w:sz="4" w:space="0"/>
              <w:bottom w:val="single" w:color="auto" w:sz="4" w:space="0"/>
              <w:right w:val="single" w:color="auto" w:sz="4" w:space="0"/>
            </w:tcBorders>
            <w:noWrap w:val="0"/>
            <w:vAlign w:val="center"/>
          </w:tcPr>
          <w:p w14:paraId="564D07A7">
            <w:pPr>
              <w:pStyle w:val="4"/>
              <w:snapToGrid w:val="0"/>
              <w:spacing w:line="400" w:lineRule="exact"/>
              <w:jc w:val="center"/>
              <w:outlineLvl w:val="0"/>
              <w:rPr>
                <w:rFonts w:hint="eastAsia" w:hAnsi="宋体" w:eastAsia="宋体" w:cs="宋体"/>
              </w:rPr>
            </w:pPr>
            <w:bookmarkStart w:id="4" w:name="_Toc4200"/>
            <w:r>
              <w:rPr>
                <w:rFonts w:hint="eastAsia" w:hAnsi="宋体" w:eastAsia="宋体" w:cs="宋体"/>
              </w:rPr>
              <w:t>服务内容和要求</w:t>
            </w:r>
            <w:bookmarkEnd w:id="4"/>
          </w:p>
        </w:tc>
      </w:tr>
      <w:tr w14:paraId="0C34A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760C9B62">
            <w:pPr>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114" w:type="dxa"/>
            <w:tcBorders>
              <w:left w:val="single" w:color="auto" w:sz="4" w:space="0"/>
              <w:bottom w:val="single" w:color="auto" w:sz="4" w:space="0"/>
              <w:right w:val="single" w:color="auto" w:sz="4" w:space="0"/>
            </w:tcBorders>
            <w:noWrap w:val="0"/>
            <w:vAlign w:val="center"/>
          </w:tcPr>
          <w:p w14:paraId="374CCA14">
            <w:pPr>
              <w:spacing w:line="360" w:lineRule="exact"/>
              <w:jc w:val="center"/>
              <w:rPr>
                <w:rFonts w:hint="eastAsia" w:ascii="宋体" w:hAnsi="宋体" w:eastAsia="宋体" w:cs="宋体"/>
                <w:szCs w:val="21"/>
              </w:rPr>
            </w:pPr>
            <w:r>
              <w:rPr>
                <w:rFonts w:hint="eastAsia" w:ascii="宋体" w:hAnsi="宋体" w:eastAsia="宋体" w:cs="宋体"/>
                <w:szCs w:val="21"/>
              </w:rPr>
              <w:t>内镜设备维保</w:t>
            </w:r>
          </w:p>
        </w:tc>
        <w:tc>
          <w:tcPr>
            <w:tcW w:w="808" w:type="dxa"/>
            <w:tcBorders>
              <w:left w:val="single" w:color="auto" w:sz="4" w:space="0"/>
              <w:bottom w:val="single" w:color="auto" w:sz="4" w:space="0"/>
              <w:right w:val="single" w:color="auto" w:sz="4" w:space="0"/>
            </w:tcBorders>
            <w:noWrap w:val="0"/>
            <w:vAlign w:val="center"/>
          </w:tcPr>
          <w:p w14:paraId="0878C1F2">
            <w:pPr>
              <w:pStyle w:val="4"/>
              <w:snapToGrid w:val="0"/>
              <w:spacing w:line="360" w:lineRule="exact"/>
              <w:outlineLvl w:val="0"/>
              <w:rPr>
                <w:rFonts w:hAnsi="宋体" w:eastAsia="宋体" w:cs="宋体"/>
                <w:szCs w:val="21"/>
              </w:rPr>
            </w:pPr>
            <w:bookmarkStart w:id="5" w:name="_Toc29193"/>
            <w:r>
              <w:rPr>
                <w:rFonts w:hint="eastAsia" w:hAnsi="宋体" w:eastAsia="宋体" w:cs="宋体"/>
                <w:szCs w:val="21"/>
              </w:rPr>
              <w:t>1项</w:t>
            </w:r>
            <w:bookmarkEnd w:id="5"/>
          </w:p>
        </w:tc>
        <w:tc>
          <w:tcPr>
            <w:tcW w:w="7327" w:type="dxa"/>
            <w:tcBorders>
              <w:top w:val="single" w:color="auto" w:sz="4" w:space="0"/>
              <w:left w:val="single" w:color="auto" w:sz="4" w:space="0"/>
              <w:right w:val="single" w:color="auto" w:sz="4" w:space="0"/>
            </w:tcBorders>
            <w:noWrap w:val="0"/>
            <w:vAlign w:val="center"/>
          </w:tcPr>
          <w:p w14:paraId="43FF7C2A">
            <w:pPr>
              <w:pStyle w:val="12"/>
              <w:numPr>
                <w:ilvl w:val="0"/>
                <w:numId w:val="1"/>
              </w:numPr>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cs="宋体"/>
                <w:szCs w:val="21"/>
                <w:highlight w:val="none"/>
                <w:lang w:val="en-US" w:eastAsia="zh-CN"/>
              </w:rPr>
              <w:t>富士内镜维保设备明细表</w:t>
            </w:r>
          </w:p>
          <w:p w14:paraId="08F1C8C5">
            <w:pPr>
              <w:pStyle w:val="12"/>
              <w:numPr>
                <w:ilvl w:val="0"/>
                <w:numId w:val="0"/>
              </w:numPr>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富士内镜类设备7条，主机类设备2台，及配套光源3台，气泵、二氧化碳送气装置2台，合计14项。</w:t>
            </w:r>
          </w:p>
          <w:tbl>
            <w:tblPr>
              <w:tblStyle w:val="8"/>
              <w:tblW w:w="7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00"/>
              <w:gridCol w:w="1350"/>
              <w:gridCol w:w="1420"/>
              <w:gridCol w:w="895"/>
              <w:gridCol w:w="1417"/>
            </w:tblGrid>
            <w:tr w14:paraId="256D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392EF625">
                  <w:pPr>
                    <w:widowControl/>
                    <w:spacing w:line="360" w:lineRule="auto"/>
                    <w:jc w:val="center"/>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序号</w:t>
                  </w:r>
                </w:p>
              </w:tc>
              <w:tc>
                <w:tcPr>
                  <w:tcW w:w="1300" w:type="dxa"/>
                  <w:noWrap w:val="0"/>
                  <w:vAlign w:val="center"/>
                </w:tcPr>
                <w:p w14:paraId="7EBBC075">
                  <w:pPr>
                    <w:widowControl/>
                    <w:spacing w:line="360" w:lineRule="auto"/>
                    <w:jc w:val="center"/>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设备名称</w:t>
                  </w:r>
                </w:p>
              </w:tc>
              <w:tc>
                <w:tcPr>
                  <w:tcW w:w="1350" w:type="dxa"/>
                  <w:noWrap w:val="0"/>
                  <w:vAlign w:val="center"/>
                </w:tcPr>
                <w:p w14:paraId="437D494D">
                  <w:pPr>
                    <w:widowControl/>
                    <w:spacing w:line="360" w:lineRule="auto"/>
                    <w:jc w:val="center"/>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设备型号</w:t>
                  </w:r>
                </w:p>
              </w:tc>
              <w:tc>
                <w:tcPr>
                  <w:tcW w:w="1420" w:type="dxa"/>
                  <w:noWrap w:val="0"/>
                  <w:vAlign w:val="center"/>
                </w:tcPr>
                <w:p w14:paraId="68B57761">
                  <w:pPr>
                    <w:widowControl/>
                    <w:spacing w:line="360" w:lineRule="auto"/>
                    <w:jc w:val="center"/>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设备SN号</w:t>
                  </w:r>
                </w:p>
              </w:tc>
              <w:tc>
                <w:tcPr>
                  <w:tcW w:w="895" w:type="dxa"/>
                  <w:noWrap w:val="0"/>
                  <w:vAlign w:val="center"/>
                </w:tcPr>
                <w:p w14:paraId="43278A97">
                  <w:pPr>
                    <w:widowControl/>
                    <w:spacing w:line="360" w:lineRule="auto"/>
                    <w:jc w:val="center"/>
                    <w:rPr>
                      <w:rFonts w:hint="eastAsia" w:ascii="宋体" w:hAnsi="宋体" w:eastAsia="宋体"/>
                      <w:b/>
                      <w:bCs/>
                      <w:vertAlign w:val="baseline"/>
                      <w:lang w:val="en-US" w:eastAsia="zh-CN"/>
                    </w:rPr>
                  </w:pPr>
                  <w:r>
                    <w:rPr>
                      <w:rFonts w:hint="eastAsia" w:ascii="宋体" w:hAnsi="宋体" w:eastAsia="宋体" w:cs="宋体"/>
                      <w:b/>
                      <w:bCs/>
                      <w:sz w:val="20"/>
                      <w:szCs w:val="18"/>
                      <w:lang w:val="en-US" w:eastAsia="zh-CN"/>
                    </w:rPr>
                    <w:t>数量</w:t>
                  </w:r>
                </w:p>
              </w:tc>
              <w:tc>
                <w:tcPr>
                  <w:tcW w:w="1417" w:type="dxa"/>
                  <w:noWrap w:val="0"/>
                  <w:vAlign w:val="center"/>
                </w:tcPr>
                <w:p w14:paraId="71F9ADE9">
                  <w:pPr>
                    <w:pStyle w:val="12"/>
                    <w:numPr>
                      <w:ilvl w:val="0"/>
                      <w:numId w:val="0"/>
                    </w:numPr>
                    <w:adjustRightInd/>
                    <w:spacing w:line="360" w:lineRule="auto"/>
                    <w:jc w:val="center"/>
                    <w:rPr>
                      <w:rFonts w:hint="default" w:ascii="宋体" w:hAnsi="宋体" w:eastAsia="宋体"/>
                      <w:vertAlign w:val="baseline"/>
                      <w:lang w:val="en-US" w:eastAsia="zh-CN"/>
                    </w:rPr>
                  </w:pPr>
                  <w:r>
                    <w:rPr>
                      <w:rFonts w:hint="eastAsia" w:ascii="宋体" w:hAnsi="宋体" w:eastAsia="宋体"/>
                      <w:b/>
                      <w:bCs/>
                      <w:vertAlign w:val="baseline"/>
                      <w:lang w:val="en-US" w:eastAsia="zh-CN"/>
                    </w:rPr>
                    <w:t>维保要求</w:t>
                  </w:r>
                </w:p>
              </w:tc>
            </w:tr>
            <w:tr w14:paraId="6DC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105D41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w:t>
                  </w:r>
                </w:p>
              </w:tc>
              <w:tc>
                <w:tcPr>
                  <w:tcW w:w="1300" w:type="dxa"/>
                  <w:noWrap w:val="0"/>
                  <w:vAlign w:val="center"/>
                </w:tcPr>
                <w:p w14:paraId="475C7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图像处理</w:t>
                  </w:r>
                  <w:r>
                    <w:rPr>
                      <w:rFonts w:ascii="宋体" w:hAnsi="宋体" w:eastAsia="宋体" w:cs="宋体"/>
                      <w:sz w:val="20"/>
                      <w:szCs w:val="18"/>
                    </w:rPr>
                    <w:t>器</w:t>
                  </w:r>
                </w:p>
              </w:tc>
              <w:tc>
                <w:tcPr>
                  <w:tcW w:w="1350" w:type="dxa"/>
                  <w:noWrap w:val="0"/>
                  <w:vAlign w:val="center"/>
                </w:tcPr>
                <w:p w14:paraId="22AD4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VP-7000</w:t>
                  </w:r>
                </w:p>
              </w:tc>
              <w:tc>
                <w:tcPr>
                  <w:tcW w:w="1420" w:type="dxa"/>
                  <w:noWrap w:val="0"/>
                  <w:vAlign w:val="center"/>
                </w:tcPr>
                <w:p w14:paraId="217579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2V627G598</w:t>
                  </w:r>
                </w:p>
              </w:tc>
              <w:tc>
                <w:tcPr>
                  <w:tcW w:w="895" w:type="dxa"/>
                  <w:noWrap w:val="0"/>
                  <w:vAlign w:val="center"/>
                </w:tcPr>
                <w:p w14:paraId="62218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4671C5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27E8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0A12C0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w:t>
                  </w:r>
                </w:p>
              </w:tc>
              <w:tc>
                <w:tcPr>
                  <w:tcW w:w="1300" w:type="dxa"/>
                  <w:noWrap w:val="0"/>
                  <w:vAlign w:val="center"/>
                </w:tcPr>
                <w:p w14:paraId="1C9EBF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冷光源</w:t>
                  </w:r>
                </w:p>
              </w:tc>
              <w:tc>
                <w:tcPr>
                  <w:tcW w:w="1350" w:type="dxa"/>
                  <w:noWrap w:val="0"/>
                  <w:vAlign w:val="center"/>
                </w:tcPr>
                <w:p w14:paraId="13C1EE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BL-7000</w:t>
                  </w:r>
                </w:p>
              </w:tc>
              <w:tc>
                <w:tcPr>
                  <w:tcW w:w="1420" w:type="dxa"/>
                  <w:noWrap w:val="0"/>
                  <w:vAlign w:val="center"/>
                </w:tcPr>
                <w:p w14:paraId="7DC107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2S101G560</w:t>
                  </w:r>
                </w:p>
              </w:tc>
              <w:tc>
                <w:tcPr>
                  <w:tcW w:w="895" w:type="dxa"/>
                  <w:noWrap w:val="0"/>
                  <w:vAlign w:val="center"/>
                </w:tcPr>
                <w:p w14:paraId="2494CC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6B4D04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05F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7E994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3</w:t>
                  </w:r>
                </w:p>
              </w:tc>
              <w:tc>
                <w:tcPr>
                  <w:tcW w:w="1300" w:type="dxa"/>
                  <w:noWrap w:val="0"/>
                  <w:vAlign w:val="center"/>
                </w:tcPr>
                <w:p w14:paraId="1C5E3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6772DD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EG-760Z</w:t>
                  </w:r>
                </w:p>
              </w:tc>
              <w:tc>
                <w:tcPr>
                  <w:tcW w:w="1420" w:type="dxa"/>
                  <w:noWrap w:val="0"/>
                  <w:vAlign w:val="center"/>
                </w:tcPr>
                <w:p w14:paraId="1A9DFF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2G403G080</w:t>
                  </w:r>
                </w:p>
              </w:tc>
              <w:tc>
                <w:tcPr>
                  <w:tcW w:w="895" w:type="dxa"/>
                  <w:noWrap w:val="0"/>
                  <w:vAlign w:val="center"/>
                </w:tcPr>
                <w:p w14:paraId="628438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314FD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3D4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D77E8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4</w:t>
                  </w:r>
                </w:p>
              </w:tc>
              <w:tc>
                <w:tcPr>
                  <w:tcW w:w="1300" w:type="dxa"/>
                  <w:noWrap w:val="0"/>
                  <w:vAlign w:val="center"/>
                </w:tcPr>
                <w:p w14:paraId="28667C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6C30E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EC-760ZP-V/M</w:t>
                  </w:r>
                </w:p>
              </w:tc>
              <w:tc>
                <w:tcPr>
                  <w:tcW w:w="1420" w:type="dxa"/>
                  <w:noWrap w:val="0"/>
                  <w:vAlign w:val="center"/>
                </w:tcPr>
                <w:p w14:paraId="44D979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2C730G138</w:t>
                  </w:r>
                </w:p>
              </w:tc>
              <w:tc>
                <w:tcPr>
                  <w:tcW w:w="895" w:type="dxa"/>
                  <w:noWrap w:val="0"/>
                  <w:vAlign w:val="center"/>
                </w:tcPr>
                <w:p w14:paraId="05949E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5A356E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AE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9ED0D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5</w:t>
                  </w:r>
                </w:p>
              </w:tc>
              <w:tc>
                <w:tcPr>
                  <w:tcW w:w="1300" w:type="dxa"/>
                  <w:noWrap w:val="0"/>
                  <w:vAlign w:val="center"/>
                </w:tcPr>
                <w:p w14:paraId="1FF9A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6AD91F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EG-760CT</w:t>
                  </w:r>
                </w:p>
              </w:tc>
              <w:tc>
                <w:tcPr>
                  <w:tcW w:w="1420" w:type="dxa"/>
                  <w:noWrap w:val="0"/>
                  <w:vAlign w:val="center"/>
                </w:tcPr>
                <w:p w14:paraId="7D0218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6G411G066</w:t>
                  </w:r>
                </w:p>
              </w:tc>
              <w:tc>
                <w:tcPr>
                  <w:tcW w:w="895" w:type="dxa"/>
                  <w:noWrap w:val="0"/>
                  <w:vAlign w:val="center"/>
                </w:tcPr>
                <w:p w14:paraId="56D26B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79D2BE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0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1865E4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6</w:t>
                  </w:r>
                </w:p>
              </w:tc>
              <w:tc>
                <w:tcPr>
                  <w:tcW w:w="1300" w:type="dxa"/>
                  <w:noWrap w:val="0"/>
                  <w:vAlign w:val="center"/>
                </w:tcPr>
                <w:p w14:paraId="12397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755B55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EC-760R-V/M</w:t>
                  </w:r>
                </w:p>
              </w:tc>
              <w:tc>
                <w:tcPr>
                  <w:tcW w:w="1420" w:type="dxa"/>
                  <w:noWrap w:val="0"/>
                  <w:vAlign w:val="center"/>
                </w:tcPr>
                <w:p w14:paraId="11709C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1C727G488</w:t>
                  </w:r>
                </w:p>
              </w:tc>
              <w:tc>
                <w:tcPr>
                  <w:tcW w:w="895" w:type="dxa"/>
                  <w:noWrap w:val="0"/>
                  <w:vAlign w:val="center"/>
                </w:tcPr>
                <w:p w14:paraId="776349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0200D1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3E2D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0E5AB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7</w:t>
                  </w:r>
                </w:p>
              </w:tc>
              <w:tc>
                <w:tcPr>
                  <w:tcW w:w="1300" w:type="dxa"/>
                  <w:noWrap w:val="0"/>
                  <w:vAlign w:val="center"/>
                </w:tcPr>
                <w:p w14:paraId="12EA4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781BA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EC-601WM</w:t>
                  </w:r>
                </w:p>
              </w:tc>
              <w:tc>
                <w:tcPr>
                  <w:tcW w:w="1420" w:type="dxa"/>
                  <w:noWrap w:val="0"/>
                  <w:vAlign w:val="center"/>
                </w:tcPr>
                <w:p w14:paraId="16C6A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2C719G720</w:t>
                  </w:r>
                </w:p>
              </w:tc>
              <w:tc>
                <w:tcPr>
                  <w:tcW w:w="895" w:type="dxa"/>
                  <w:noWrap w:val="0"/>
                  <w:vAlign w:val="center"/>
                </w:tcPr>
                <w:p w14:paraId="41267F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69D11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29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3CA1A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8</w:t>
                  </w:r>
                </w:p>
              </w:tc>
              <w:tc>
                <w:tcPr>
                  <w:tcW w:w="1300" w:type="dxa"/>
                  <w:noWrap w:val="0"/>
                  <w:vAlign w:val="center"/>
                </w:tcPr>
                <w:p w14:paraId="388C3A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13B974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EN-580T</w:t>
                  </w:r>
                </w:p>
              </w:tc>
              <w:tc>
                <w:tcPr>
                  <w:tcW w:w="1420" w:type="dxa"/>
                  <w:noWrap w:val="0"/>
                  <w:vAlign w:val="center"/>
                </w:tcPr>
                <w:p w14:paraId="54B2BC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1C675G351</w:t>
                  </w:r>
                </w:p>
              </w:tc>
              <w:tc>
                <w:tcPr>
                  <w:tcW w:w="895" w:type="dxa"/>
                  <w:noWrap w:val="0"/>
                  <w:vAlign w:val="center"/>
                </w:tcPr>
                <w:p w14:paraId="27E17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202D4C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67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7D1A10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9</w:t>
                  </w:r>
                </w:p>
              </w:tc>
              <w:tc>
                <w:tcPr>
                  <w:tcW w:w="1300" w:type="dxa"/>
                  <w:noWrap w:val="0"/>
                  <w:vAlign w:val="center"/>
                </w:tcPr>
                <w:p w14:paraId="16DDFE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434F6E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EG-600WR</w:t>
                  </w:r>
                </w:p>
              </w:tc>
              <w:tc>
                <w:tcPr>
                  <w:tcW w:w="1420" w:type="dxa"/>
                  <w:noWrap w:val="0"/>
                  <w:vAlign w:val="center"/>
                </w:tcPr>
                <w:p w14:paraId="2D5E61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ascii="宋体" w:hAnsi="宋体" w:eastAsia="宋体" w:cs="宋体"/>
                      <w:sz w:val="20"/>
                      <w:szCs w:val="18"/>
                    </w:rPr>
                    <w:t>3G391G323</w:t>
                  </w:r>
                </w:p>
              </w:tc>
              <w:tc>
                <w:tcPr>
                  <w:tcW w:w="895" w:type="dxa"/>
                  <w:noWrap w:val="0"/>
                  <w:vAlign w:val="center"/>
                </w:tcPr>
                <w:p w14:paraId="4FEC0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18DFF1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4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1EE5C5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10</w:t>
                  </w:r>
                </w:p>
              </w:tc>
              <w:tc>
                <w:tcPr>
                  <w:tcW w:w="1300" w:type="dxa"/>
                  <w:noWrap w:val="0"/>
                  <w:vAlign w:val="center"/>
                </w:tcPr>
                <w:p w14:paraId="0DE49D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图像处理器</w:t>
                  </w:r>
                </w:p>
              </w:tc>
              <w:tc>
                <w:tcPr>
                  <w:tcW w:w="1350" w:type="dxa"/>
                  <w:noWrap w:val="0"/>
                  <w:vAlign w:val="center"/>
                </w:tcPr>
                <w:p w14:paraId="390C1E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VP-4450HD</w:t>
                  </w:r>
                </w:p>
              </w:tc>
              <w:tc>
                <w:tcPr>
                  <w:tcW w:w="1420" w:type="dxa"/>
                  <w:noWrap w:val="0"/>
                  <w:vAlign w:val="center"/>
                </w:tcPr>
                <w:p w14:paraId="004978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2V567G201</w:t>
                  </w:r>
                </w:p>
              </w:tc>
              <w:tc>
                <w:tcPr>
                  <w:tcW w:w="895" w:type="dxa"/>
                  <w:noWrap w:val="0"/>
                  <w:vAlign w:val="center"/>
                </w:tcPr>
                <w:p w14:paraId="17CF10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09C4B5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7860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7596A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11</w:t>
                  </w:r>
                </w:p>
              </w:tc>
              <w:tc>
                <w:tcPr>
                  <w:tcW w:w="1300" w:type="dxa"/>
                  <w:noWrap w:val="0"/>
                  <w:vAlign w:val="center"/>
                </w:tcPr>
                <w:p w14:paraId="255A5B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冷光源</w:t>
                  </w:r>
                </w:p>
              </w:tc>
              <w:tc>
                <w:tcPr>
                  <w:tcW w:w="1350" w:type="dxa"/>
                  <w:noWrap w:val="0"/>
                  <w:vAlign w:val="center"/>
                </w:tcPr>
                <w:p w14:paraId="710438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XL-4450</w:t>
                  </w:r>
                </w:p>
              </w:tc>
              <w:tc>
                <w:tcPr>
                  <w:tcW w:w="1420" w:type="dxa"/>
                  <w:noWrap w:val="0"/>
                  <w:vAlign w:val="center"/>
                </w:tcPr>
                <w:p w14:paraId="3C139C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2S094G428</w:t>
                  </w:r>
                </w:p>
              </w:tc>
              <w:tc>
                <w:tcPr>
                  <w:tcW w:w="895" w:type="dxa"/>
                  <w:noWrap w:val="0"/>
                  <w:vAlign w:val="center"/>
                </w:tcPr>
                <w:p w14:paraId="073C44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4D39F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5B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066A8E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12</w:t>
                  </w:r>
                </w:p>
              </w:tc>
              <w:tc>
                <w:tcPr>
                  <w:tcW w:w="1300" w:type="dxa"/>
                  <w:noWrap w:val="0"/>
                  <w:vAlign w:val="center"/>
                </w:tcPr>
                <w:p w14:paraId="01548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激光</w:t>
                  </w:r>
                  <w:r>
                    <w:rPr>
                      <w:rFonts w:ascii="宋体" w:hAnsi="宋体" w:eastAsia="宋体" w:cs="宋体"/>
                      <w:sz w:val="20"/>
                      <w:szCs w:val="18"/>
                    </w:rPr>
                    <w:t>光源</w:t>
                  </w:r>
                </w:p>
              </w:tc>
              <w:tc>
                <w:tcPr>
                  <w:tcW w:w="1350" w:type="dxa"/>
                  <w:noWrap w:val="0"/>
                  <w:vAlign w:val="center"/>
                </w:tcPr>
                <w:p w14:paraId="750D0C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LL-4450</w:t>
                  </w:r>
                </w:p>
              </w:tc>
              <w:tc>
                <w:tcPr>
                  <w:tcW w:w="1420" w:type="dxa"/>
                  <w:noWrap w:val="0"/>
                  <w:vAlign w:val="center"/>
                </w:tcPr>
                <w:p w14:paraId="077AB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1S098G323</w:t>
                  </w:r>
                </w:p>
              </w:tc>
              <w:tc>
                <w:tcPr>
                  <w:tcW w:w="895" w:type="dxa"/>
                  <w:noWrap w:val="0"/>
                  <w:vAlign w:val="center"/>
                </w:tcPr>
                <w:p w14:paraId="7CEC16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5BDD6C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24D7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1A4BD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13</w:t>
                  </w:r>
                </w:p>
              </w:tc>
              <w:tc>
                <w:tcPr>
                  <w:tcW w:w="1300" w:type="dxa"/>
                  <w:noWrap w:val="0"/>
                  <w:vAlign w:val="center"/>
                </w:tcPr>
                <w:p w14:paraId="22BFE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气泵</w:t>
                  </w:r>
                </w:p>
              </w:tc>
              <w:tc>
                <w:tcPr>
                  <w:tcW w:w="1350" w:type="dxa"/>
                  <w:noWrap w:val="0"/>
                  <w:vAlign w:val="center"/>
                </w:tcPr>
                <w:p w14:paraId="06D4E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PB-30</w:t>
                  </w:r>
                </w:p>
              </w:tc>
              <w:tc>
                <w:tcPr>
                  <w:tcW w:w="1420" w:type="dxa"/>
                  <w:noWrap w:val="0"/>
                  <w:vAlign w:val="center"/>
                </w:tcPr>
                <w:p w14:paraId="78494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1V623G052</w:t>
                  </w:r>
                </w:p>
              </w:tc>
              <w:tc>
                <w:tcPr>
                  <w:tcW w:w="895" w:type="dxa"/>
                  <w:noWrap w:val="0"/>
                  <w:vAlign w:val="center"/>
                </w:tcPr>
                <w:p w14:paraId="214744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178D18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4D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09ED4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14</w:t>
                  </w:r>
                </w:p>
              </w:tc>
              <w:tc>
                <w:tcPr>
                  <w:tcW w:w="1300" w:type="dxa"/>
                  <w:noWrap w:val="0"/>
                  <w:vAlign w:val="center"/>
                </w:tcPr>
                <w:p w14:paraId="0028DA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eastAsia="zh-CN"/>
                    </w:rPr>
                    <w:t>二氧化碳</w:t>
                  </w:r>
                  <w:r>
                    <w:rPr>
                      <w:rFonts w:hint="eastAsia" w:ascii="宋体" w:hAnsi="宋体" w:eastAsia="宋体" w:cs="宋体"/>
                      <w:sz w:val="20"/>
                      <w:szCs w:val="18"/>
                    </w:rPr>
                    <w:t>泵</w:t>
                  </w:r>
                </w:p>
              </w:tc>
              <w:tc>
                <w:tcPr>
                  <w:tcW w:w="1350" w:type="dxa"/>
                  <w:noWrap w:val="0"/>
                  <w:vAlign w:val="center"/>
                </w:tcPr>
                <w:p w14:paraId="467ECA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CR4500</w:t>
                  </w:r>
                </w:p>
              </w:tc>
              <w:tc>
                <w:tcPr>
                  <w:tcW w:w="1420" w:type="dxa"/>
                  <w:noWrap w:val="0"/>
                  <w:vAlign w:val="center"/>
                </w:tcPr>
                <w:p w14:paraId="4BB0BC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rPr>
                    <w:t>AG6020Z2140</w:t>
                  </w:r>
                </w:p>
              </w:tc>
              <w:tc>
                <w:tcPr>
                  <w:tcW w:w="895" w:type="dxa"/>
                  <w:noWrap w:val="0"/>
                  <w:vAlign w:val="center"/>
                </w:tcPr>
                <w:p w14:paraId="39A85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5997AE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bl>
          <w:p w14:paraId="38CFF774">
            <w:pPr>
              <w:pStyle w:val="12"/>
              <w:numPr>
                <w:ilvl w:val="0"/>
                <w:numId w:val="0"/>
              </w:numPr>
              <w:adjustRightInd/>
              <w:spacing w:line="360" w:lineRule="auto"/>
              <w:ind w:left="0" w:firstLine="0" w:firstLineChars="0"/>
              <w:jc w:val="left"/>
              <w:rPr>
                <w:rFonts w:hint="default" w:ascii="宋体" w:hAnsi="宋体" w:eastAsia="宋体"/>
                <w:lang w:val="en-US" w:eastAsia="zh-CN"/>
              </w:rPr>
            </w:pPr>
          </w:p>
          <w:p w14:paraId="5B682E0C">
            <w:pPr>
              <w:pStyle w:val="12"/>
              <w:numPr>
                <w:ilvl w:val="0"/>
                <w:numId w:val="0"/>
              </w:numPr>
              <w:adjustRightInd/>
              <w:spacing w:line="360" w:lineRule="auto"/>
              <w:ind w:left="0" w:firstLine="0" w:firstLineChars="0"/>
              <w:jc w:val="left"/>
              <w:rPr>
                <w:rFonts w:hint="default" w:ascii="宋体" w:hAnsi="宋体" w:eastAsia="宋体"/>
                <w:lang w:val="en-US" w:eastAsia="zh-CN"/>
              </w:rPr>
            </w:pPr>
          </w:p>
          <w:p w14:paraId="782875E1">
            <w:pPr>
              <w:pStyle w:val="12"/>
              <w:numPr>
                <w:ilvl w:val="0"/>
                <w:numId w:val="0"/>
              </w:numPr>
              <w:adjustRightInd/>
              <w:spacing w:line="360" w:lineRule="auto"/>
              <w:ind w:left="0" w:firstLine="0" w:firstLineChars="0"/>
              <w:jc w:val="left"/>
              <w:rPr>
                <w:rFonts w:hint="eastAsia" w:ascii="宋体" w:hAnsi="宋体" w:eastAsia="宋体"/>
              </w:rPr>
            </w:pPr>
            <w:r>
              <w:rPr>
                <w:rFonts w:hint="eastAsia" w:ascii="宋体" w:hAnsi="宋体" w:eastAsia="宋体"/>
                <w:lang w:val="en-US" w:eastAsia="zh-CN"/>
              </w:rPr>
              <w:t>二、全保</w:t>
            </w:r>
            <w:r>
              <w:rPr>
                <w:rFonts w:hint="eastAsia" w:ascii="宋体" w:hAnsi="宋体" w:eastAsia="宋体"/>
              </w:rPr>
              <w:t>服务内容：</w:t>
            </w:r>
          </w:p>
          <w:p w14:paraId="28084DC4">
            <w:pPr>
              <w:pStyle w:val="12"/>
              <w:numPr>
                <w:ilvl w:val="0"/>
                <w:numId w:val="0"/>
              </w:numPr>
              <w:tabs>
                <w:tab w:val="left" w:pos="0"/>
              </w:tabs>
              <w:adjustRightInd/>
              <w:spacing w:line="360" w:lineRule="auto"/>
              <w:ind w:left="0" w:firstLine="0" w:firstLineChars="0"/>
              <w:jc w:val="left"/>
              <w:rPr>
                <w:rFonts w:hint="eastAsia" w:ascii="宋体" w:hAnsi="宋体" w:eastAsia="宋体" w:cs="宋体"/>
                <w:color w:val="auto"/>
                <w:szCs w:val="21"/>
                <w:highlight w:val="none"/>
                <w:u w:val="none"/>
              </w:rPr>
            </w:pPr>
            <w:r>
              <w:rPr>
                <w:rFonts w:hint="eastAsia" w:ascii="宋体" w:hAnsi="宋体" w:eastAsia="宋体"/>
                <w:lang w:val="en-US" w:eastAsia="zh-CN"/>
              </w:rPr>
              <w:t>1.</w:t>
            </w:r>
            <w:r>
              <w:rPr>
                <w:rFonts w:hint="eastAsia" w:ascii="宋体" w:hAnsi="宋体" w:eastAsia="宋体" w:cs="宋体"/>
                <w:color w:val="000000"/>
                <w:szCs w:val="21"/>
                <w:lang w:val="en-US" w:eastAsia="zh-CN"/>
              </w:rPr>
              <w:t>服务期间，投标人必须</w:t>
            </w:r>
            <w:r>
              <w:rPr>
                <w:rFonts w:hint="eastAsia" w:ascii="宋体" w:hAnsi="宋体" w:eastAsia="宋体" w:cs="宋体"/>
                <w:color w:val="auto"/>
                <w:szCs w:val="21"/>
                <w:u w:val="none"/>
              </w:rPr>
              <w:t>使用厂家</w:t>
            </w:r>
            <w:r>
              <w:rPr>
                <w:rFonts w:hint="eastAsia" w:ascii="宋体" w:hAnsi="宋体" w:eastAsia="宋体" w:cs="宋体"/>
                <w:color w:val="000000"/>
                <w:szCs w:val="21"/>
              </w:rPr>
              <w:t>生产的未拆封原装零配件。</w:t>
            </w:r>
            <w:r>
              <w:rPr>
                <w:rFonts w:hint="eastAsia" w:ascii="宋体" w:hAnsi="宋体" w:eastAsia="宋体" w:cs="宋体"/>
                <w:color w:val="auto"/>
                <w:szCs w:val="21"/>
                <w:highlight w:val="none"/>
                <w:u w:val="none"/>
                <w:lang w:val="en-US" w:eastAsia="zh-CN"/>
              </w:rPr>
              <w:t>如采购人有要求，投标人需出示</w:t>
            </w:r>
            <w:r>
              <w:rPr>
                <w:rFonts w:hint="eastAsia" w:ascii="宋体" w:hAnsi="宋体" w:eastAsia="宋体" w:cs="宋体"/>
                <w:color w:val="000000"/>
                <w:szCs w:val="21"/>
                <w:highlight w:val="none"/>
                <w:u w:val="none"/>
                <w:lang w:val="en-US" w:eastAsia="zh-CN"/>
              </w:rPr>
              <w:t>向厂家购买配件合同或报关单等证明材料</w:t>
            </w:r>
            <w:r>
              <w:rPr>
                <w:rFonts w:hint="eastAsia" w:ascii="宋体" w:hAnsi="宋体" w:eastAsia="宋体" w:cs="宋体"/>
                <w:color w:val="auto"/>
                <w:szCs w:val="21"/>
                <w:highlight w:val="none"/>
                <w:u w:val="none"/>
              </w:rPr>
              <w:t>。</w:t>
            </w:r>
          </w:p>
          <w:p w14:paraId="4E4BC1FA">
            <w:pPr>
              <w:pStyle w:val="12"/>
              <w:numPr>
                <w:ilvl w:val="0"/>
                <w:numId w:val="0"/>
              </w:numPr>
              <w:tabs>
                <w:tab w:val="left" w:pos="0"/>
              </w:tabs>
              <w:adjustRightInd/>
              <w:spacing w:line="360" w:lineRule="auto"/>
              <w:ind w:left="0" w:firstLine="0" w:firstLineChars="0"/>
              <w:jc w:val="left"/>
              <w:rPr>
                <w:rFonts w:hint="eastAsia" w:ascii="宋体" w:hAnsi="宋体" w:eastAsia="宋体"/>
              </w:rPr>
            </w:pPr>
            <w:r>
              <w:rPr>
                <w:rFonts w:hint="eastAsia" w:ascii="宋体" w:hAnsi="宋体" w:eastAsia="宋体" w:cs="宋体"/>
                <w:color w:val="000000"/>
                <w:szCs w:val="21"/>
                <w:highlight w:val="none"/>
                <w:lang w:val="en-US" w:eastAsia="zh-CN"/>
              </w:rPr>
              <w:t>2.投标人承诺具备</w:t>
            </w:r>
            <w:r>
              <w:rPr>
                <w:rFonts w:hint="eastAsia" w:ascii="宋体" w:hAnsi="宋体" w:eastAsia="宋体" w:cs="宋体"/>
                <w:color w:val="000000"/>
                <w:szCs w:val="21"/>
                <w:lang w:val="en-US" w:eastAsia="zh-CN"/>
              </w:rPr>
              <w:t>48小时内提供备品备件的能力，最长不超过七个工作日。</w:t>
            </w:r>
          </w:p>
          <w:p w14:paraId="0DCE4F25">
            <w:pPr>
              <w:pStyle w:val="12"/>
              <w:numPr>
                <w:ilvl w:val="0"/>
                <w:numId w:val="0"/>
              </w:numPr>
              <w:tabs>
                <w:tab w:val="left" w:pos="0"/>
              </w:tabs>
              <w:adjustRightInd/>
              <w:spacing w:line="360" w:lineRule="auto"/>
              <w:ind w:left="0" w:firstLine="0" w:firstLineChars="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000000"/>
                <w:szCs w:val="21"/>
                <w:highlight w:val="none"/>
                <w:lang w:val="en-US" w:eastAsia="zh-CN"/>
              </w:rPr>
              <w:t>3.竞标人</w:t>
            </w:r>
            <w:r>
              <w:rPr>
                <w:rFonts w:hint="eastAsia" w:ascii="宋体" w:hAnsi="宋体" w:eastAsia="宋体" w:cs="宋体"/>
                <w:color w:val="000000"/>
                <w:szCs w:val="21"/>
              </w:rPr>
              <w:t>对全保内镜设备进行维修：自然损耗以及按照正规要求操作或清洗消毒的情况下发生的故障，</w:t>
            </w:r>
            <w:r>
              <w:rPr>
                <w:rFonts w:hint="eastAsia" w:ascii="宋体" w:hAnsi="宋体" w:eastAsia="宋体" w:cs="宋体"/>
                <w:color w:val="000000"/>
                <w:szCs w:val="21"/>
                <w:highlight w:val="none"/>
                <w:lang w:val="en-US" w:eastAsia="zh-CN"/>
              </w:rPr>
              <w:t>竞标人</w:t>
            </w:r>
            <w:r>
              <w:rPr>
                <w:rFonts w:hint="eastAsia" w:ascii="宋体" w:hAnsi="宋体" w:eastAsia="宋体" w:cs="宋体"/>
                <w:color w:val="000000"/>
                <w:szCs w:val="21"/>
                <w:highlight w:val="none"/>
              </w:rPr>
              <w:t>要进行无条件</w:t>
            </w:r>
            <w:r>
              <w:rPr>
                <w:rFonts w:hint="eastAsia" w:ascii="宋体" w:hAnsi="宋体" w:eastAsia="宋体" w:cs="宋体"/>
                <w:color w:val="000000"/>
                <w:szCs w:val="21"/>
                <w:highlight w:val="none"/>
                <w:u w:val="none"/>
              </w:rPr>
              <w:t>及时</w:t>
            </w:r>
            <w:r>
              <w:rPr>
                <w:rFonts w:hint="eastAsia" w:ascii="宋体" w:hAnsi="宋体" w:eastAsia="宋体" w:cs="宋体"/>
                <w:color w:val="000000"/>
                <w:szCs w:val="21"/>
                <w:highlight w:val="none"/>
              </w:rPr>
              <w:t>维修。属于故意人为损坏的，不列为全保维修范围内，但</w:t>
            </w:r>
            <w:r>
              <w:rPr>
                <w:rFonts w:hint="eastAsia" w:ascii="宋体" w:hAnsi="宋体" w:eastAsia="宋体" w:cs="宋体"/>
                <w:color w:val="000000"/>
                <w:szCs w:val="21"/>
                <w:highlight w:val="none"/>
                <w:lang w:val="en-US" w:eastAsia="zh-CN"/>
              </w:rPr>
              <w:t>竞标人</w:t>
            </w:r>
            <w:r>
              <w:rPr>
                <w:rFonts w:hint="eastAsia" w:ascii="宋体" w:hAnsi="宋体" w:eastAsia="宋体" w:cs="宋体"/>
                <w:color w:val="000000"/>
                <w:szCs w:val="21"/>
                <w:highlight w:val="none"/>
              </w:rPr>
              <w:t>要</w:t>
            </w:r>
            <w:r>
              <w:rPr>
                <w:rFonts w:hint="eastAsia" w:ascii="宋体" w:hAnsi="宋体" w:eastAsia="宋体" w:cs="宋体"/>
                <w:color w:val="000000"/>
                <w:szCs w:val="21"/>
              </w:rPr>
              <w:t>积极帮助维修，并提供合理价格的零配件服务，其费用另计。</w:t>
            </w:r>
          </w:p>
          <w:p w14:paraId="167F0241">
            <w:pPr>
              <w:pStyle w:val="12"/>
              <w:numPr>
                <w:ilvl w:val="0"/>
                <w:numId w:val="0"/>
              </w:numPr>
              <w:tabs>
                <w:tab w:val="left" w:pos="0"/>
              </w:tabs>
              <w:adjustRightInd/>
              <w:spacing w:line="360" w:lineRule="auto"/>
              <w:ind w:left="0" w:firstLine="0" w:firstLineChars="0"/>
              <w:jc w:val="left"/>
            </w:pPr>
            <w:r>
              <w:rPr>
                <w:rFonts w:hint="eastAsia"/>
                <w:kern w:val="0"/>
                <w:sz w:val="21"/>
                <w:szCs w:val="20"/>
                <w:lang w:val="en-US" w:eastAsia="zh-CN" w:bidi="ar-SA"/>
              </w:rPr>
              <w:t>4.</w:t>
            </w:r>
            <w:r>
              <w:rPr>
                <w:rFonts w:hint="eastAsia" w:ascii="宋体" w:hAnsi="宋体" w:eastAsia="宋体" w:cs="宋体"/>
                <w:color w:val="auto"/>
                <w:szCs w:val="21"/>
                <w:highlight w:val="none"/>
                <w:u w:val="none"/>
                <w:lang w:val="en-US" w:eastAsia="zh-CN"/>
              </w:rPr>
              <w:t>投标人</w:t>
            </w:r>
            <w:r>
              <w:rPr>
                <w:rFonts w:hint="eastAsia" w:ascii="宋体" w:hAnsi="宋体" w:eastAsia="宋体" w:cs="宋体"/>
                <w:color w:val="auto"/>
                <w:szCs w:val="21"/>
                <w:highlight w:val="none"/>
                <w:u w:val="none"/>
              </w:rPr>
              <w:t>要及时维修故障内镜设备，保证24小时之内完成小维修，保证10个工作日内完成大维修</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其中小维修及大维修具体范围由竞标人在响应文件中自行申报列明，并作为竞标人技术方案的一部分）</w:t>
            </w:r>
          </w:p>
          <w:p w14:paraId="7FE7F654">
            <w:pPr>
              <w:pStyle w:val="12"/>
              <w:numPr>
                <w:ilvl w:val="0"/>
                <w:numId w:val="0"/>
              </w:numPr>
              <w:tabs>
                <w:tab w:val="left" w:pos="0"/>
              </w:tabs>
              <w:adjustRightInd/>
              <w:spacing w:line="360" w:lineRule="auto"/>
              <w:ind w:left="0" w:firstLine="0" w:firstLineChars="0"/>
              <w:jc w:val="left"/>
              <w:rPr>
                <w:rFonts w:hint="eastAsia" w:ascii="宋体" w:hAnsi="宋体" w:eastAsia="宋体"/>
              </w:rPr>
            </w:pPr>
            <w:r>
              <w:rPr>
                <w:rFonts w:hint="eastAsia" w:ascii="宋体" w:hAnsi="宋体" w:eastAsia="宋体"/>
                <w:lang w:val="en-US" w:eastAsia="zh-CN"/>
              </w:rPr>
              <w:t>5.维保清单中的设备发生复杂故障时，如采购人有需要，投标人承诺72小时内向采购人提供备用品。</w:t>
            </w:r>
          </w:p>
          <w:p w14:paraId="1C866717">
            <w:pPr>
              <w:pStyle w:val="12"/>
              <w:keepNext w:val="0"/>
              <w:keepLines w:val="0"/>
              <w:pageBreakBefore w:val="0"/>
              <w:numPr>
                <w:ilvl w:val="0"/>
                <w:numId w:val="0"/>
              </w:numPr>
              <w:tabs>
                <w:tab w:val="left" w:pos="0"/>
              </w:tabs>
              <w:kinsoku/>
              <w:overflowPunct/>
              <w:topLinePunct w:val="0"/>
              <w:autoSpaceDE/>
              <w:autoSpaceDN/>
              <w:bidi w:val="0"/>
              <w:adjustRightInd/>
              <w:spacing w:line="360" w:lineRule="auto"/>
              <w:ind w:left="0" w:firstLine="0" w:firstLineChars="0"/>
              <w:jc w:val="left"/>
              <w:rPr>
                <w:rFonts w:hint="eastAsia" w:ascii="宋体" w:hAnsi="宋体" w:eastAsia="宋体"/>
              </w:rPr>
            </w:pPr>
            <w:r>
              <w:rPr>
                <w:rFonts w:hint="eastAsia" w:ascii="宋体" w:hAnsi="宋体" w:eastAsia="宋体"/>
                <w:lang w:val="en-US" w:eastAsia="zh-CN"/>
              </w:rPr>
              <w:t>6.投标人提供不少于2名具有厂家培训资质的工程师</w:t>
            </w:r>
            <w:r>
              <w:rPr>
                <w:rFonts w:hint="eastAsia" w:ascii="宋体" w:hAnsi="宋体" w:eastAsia="宋体"/>
              </w:rPr>
              <w:t>负责</w:t>
            </w:r>
            <w:r>
              <w:rPr>
                <w:rFonts w:hint="eastAsia" w:ascii="宋体" w:hAnsi="宋体" w:eastAsia="宋体"/>
                <w:lang w:val="en-US" w:eastAsia="zh-CN"/>
              </w:rPr>
              <w:t>本服务</w:t>
            </w:r>
            <w:r>
              <w:rPr>
                <w:rFonts w:hint="eastAsia" w:ascii="宋体" w:hAnsi="宋体" w:eastAsia="宋体"/>
              </w:rPr>
              <w:t>的内镜</w:t>
            </w:r>
            <w:r>
              <w:rPr>
                <w:rFonts w:hint="eastAsia" w:ascii="宋体" w:hAnsi="宋体" w:eastAsia="宋体"/>
                <w:lang w:eastAsia="zh-CN"/>
              </w:rPr>
              <w:t>设备保养、</w:t>
            </w:r>
            <w:r>
              <w:rPr>
                <w:rFonts w:hint="eastAsia" w:ascii="宋体" w:hAnsi="宋体" w:eastAsia="宋体"/>
              </w:rPr>
              <w:t>维修和</w:t>
            </w:r>
            <w:r>
              <w:rPr>
                <w:rFonts w:hint="eastAsia" w:ascii="宋体" w:hAnsi="宋体" w:eastAsia="宋体" w:cs="宋体"/>
                <w:color w:val="000000"/>
                <w:szCs w:val="21"/>
              </w:rPr>
              <w:t>内镜操作、清洗</w:t>
            </w:r>
            <w:r>
              <w:rPr>
                <w:rFonts w:hint="eastAsia" w:ascii="宋体" w:hAnsi="宋体" w:eastAsia="宋体" w:cs="宋体"/>
                <w:color w:val="000000"/>
                <w:szCs w:val="21"/>
                <w:lang w:eastAsia="zh-CN"/>
              </w:rPr>
              <w:t>、</w:t>
            </w:r>
            <w:r>
              <w:rPr>
                <w:rFonts w:hint="eastAsia" w:ascii="宋体" w:hAnsi="宋体" w:eastAsia="宋体" w:cs="宋体"/>
                <w:color w:val="000000"/>
                <w:szCs w:val="21"/>
              </w:rPr>
              <w:t>培训等相关工作</w:t>
            </w:r>
            <w:r>
              <w:rPr>
                <w:rFonts w:hint="eastAsia" w:ascii="宋体" w:hAnsi="宋体" w:eastAsia="宋体"/>
                <w:lang w:eastAsia="zh-CN"/>
              </w:rPr>
              <w:t>（提供厂家培训证书）</w:t>
            </w:r>
            <w:r>
              <w:rPr>
                <w:rFonts w:hint="eastAsia" w:ascii="宋体" w:hAnsi="宋体" w:eastAsia="宋体"/>
              </w:rPr>
              <w:t>。如工程师有变更，</w:t>
            </w:r>
            <w:r>
              <w:rPr>
                <w:rFonts w:hint="eastAsia" w:ascii="宋体" w:hAnsi="宋体" w:eastAsia="宋体"/>
                <w:lang w:val="en-US" w:eastAsia="zh-CN"/>
              </w:rPr>
              <w:t>投标人需在变更后的7个工作日内以书面形式提交更换工程师备案表至采购人（格式自拟）</w:t>
            </w:r>
            <w:r>
              <w:rPr>
                <w:rFonts w:hint="eastAsia" w:ascii="宋体" w:hAnsi="宋体" w:eastAsia="宋体"/>
              </w:rPr>
              <w:t>。</w:t>
            </w:r>
          </w:p>
          <w:p w14:paraId="4160D1E2">
            <w:pPr>
              <w:pStyle w:val="12"/>
              <w:numPr>
                <w:ilvl w:val="0"/>
                <w:numId w:val="0"/>
              </w:numPr>
              <w:tabs>
                <w:tab w:val="left" w:pos="0"/>
              </w:tabs>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7.投标人承诺,设备发生故障时1小时内响应，并提供电话技术支持，出现故障后24小时内到达现场并提供技术支持。</w:t>
            </w:r>
          </w:p>
          <w:p w14:paraId="036A4E18">
            <w:pPr>
              <w:pStyle w:val="12"/>
              <w:numPr>
                <w:ilvl w:val="0"/>
                <w:numId w:val="0"/>
              </w:numPr>
              <w:tabs>
                <w:tab w:val="left" w:pos="0"/>
              </w:tabs>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8.投标人承诺提供24小时×7天的电话支持服务。</w:t>
            </w:r>
          </w:p>
          <w:p w14:paraId="0F1FA16B">
            <w:pPr>
              <w:pStyle w:val="12"/>
              <w:numPr>
                <w:ilvl w:val="0"/>
                <w:numId w:val="0"/>
              </w:numPr>
              <w:tabs>
                <w:tab w:val="left" w:pos="0"/>
              </w:tabs>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9.服务期间，投标人承诺每月至少到现场完成1次巡检，每3个月完成1次点检，并将巡检及点检报告提交采购人。</w:t>
            </w:r>
          </w:p>
          <w:p w14:paraId="18216EDC">
            <w:pPr>
              <w:pStyle w:val="12"/>
              <w:numPr>
                <w:ilvl w:val="0"/>
                <w:numId w:val="0"/>
              </w:numPr>
              <w:tabs>
                <w:tab w:val="left" w:pos="0"/>
              </w:tabs>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10.定期维护保养要求：投标人须制定详细的维保计划，并在每次维护保养时间前一周通知采购人，协调确定具体保养时间。维护保养应在不影响采购人正常工作的时间内进行。每年至少提供2次整机维护保养，其中至少包括安全检查，影像质量检查，设备除尘保养，运行状态检查等，并提供定期维护保养报告。</w:t>
            </w:r>
          </w:p>
          <w:p w14:paraId="151FFF71">
            <w:pPr>
              <w:pStyle w:val="12"/>
              <w:numPr>
                <w:ilvl w:val="0"/>
                <w:numId w:val="0"/>
              </w:numPr>
              <w:tabs>
                <w:tab w:val="left" w:pos="0"/>
              </w:tabs>
              <w:adjustRightInd/>
              <w:spacing w:line="360" w:lineRule="auto"/>
              <w:ind w:left="0" w:firstLine="0" w:firstLineChars="0"/>
              <w:jc w:val="left"/>
              <w:rPr>
                <w:rFonts w:hint="eastAsia" w:ascii="宋体" w:hAnsi="宋体" w:eastAsia="宋体"/>
                <w:lang w:val="en-US" w:eastAsia="zh-CN"/>
              </w:rPr>
            </w:pPr>
            <w:r>
              <w:rPr>
                <w:rFonts w:hint="eastAsia" w:ascii="宋体" w:hAnsi="宋体" w:eastAsia="宋体"/>
                <w:lang w:val="en-US" w:eastAsia="zh-CN"/>
              </w:rPr>
              <w:t>11.服务期间，投标人承诺每年对维保清单中的光源气泵、送气装置等设备进行1次除尘清洁服务，费用包含在报价中。</w:t>
            </w:r>
          </w:p>
          <w:p w14:paraId="7B9B27F6">
            <w:pPr>
              <w:keepNext w:val="0"/>
              <w:keepLines w:val="0"/>
              <w:pageBreakBefore w:val="0"/>
              <w:kinsoku/>
              <w:overflowPunct/>
              <w:topLinePunct w:val="0"/>
              <w:autoSpaceDE/>
              <w:autoSpaceDN/>
              <w:bidi w:val="0"/>
              <w:adjustRightInd/>
              <w:spacing w:line="360" w:lineRule="auto"/>
              <w:ind w:firstLine="0" w:firstLineChars="0"/>
              <w:rPr>
                <w:rFonts w:hint="eastAsia" w:ascii="宋体" w:hAnsi="宋体" w:eastAsia="宋体"/>
              </w:rPr>
            </w:pPr>
            <w:r>
              <w:rPr>
                <w:rFonts w:hint="eastAsia" w:ascii="宋体" w:hAnsi="宋体" w:eastAsia="宋体"/>
                <w:lang w:val="en-US" w:eastAsia="zh-CN"/>
              </w:rPr>
              <w:t>12.服务期间，投标人承诺，如采购人有需求，投标人提供维保设备清单中所有</w:t>
            </w:r>
            <w:r>
              <w:rPr>
                <w:rFonts w:hint="eastAsia" w:ascii="宋体" w:hAnsi="宋体" w:eastAsia="宋体"/>
              </w:rPr>
              <w:t>设备的使用</w:t>
            </w:r>
            <w:r>
              <w:rPr>
                <w:rFonts w:hint="eastAsia" w:ascii="宋体" w:hAnsi="宋体" w:eastAsia="宋体"/>
                <w:lang w:eastAsia="zh-CN"/>
              </w:rPr>
              <w:t>、</w:t>
            </w:r>
            <w:r>
              <w:rPr>
                <w:rFonts w:hint="eastAsia" w:ascii="宋体" w:hAnsi="宋体" w:eastAsia="宋体"/>
              </w:rPr>
              <w:t>清洗和保养</w:t>
            </w:r>
            <w:r>
              <w:rPr>
                <w:rFonts w:hint="eastAsia" w:ascii="宋体" w:hAnsi="宋体" w:eastAsia="宋体"/>
                <w:lang w:val="en-US" w:eastAsia="zh-CN"/>
              </w:rPr>
              <w:t>相关的材料及培训服务</w:t>
            </w:r>
            <w:r>
              <w:rPr>
                <w:rFonts w:hint="eastAsia" w:ascii="宋体" w:hAnsi="宋体" w:eastAsia="宋体"/>
              </w:rPr>
              <w:t>。</w:t>
            </w:r>
          </w:p>
          <w:p w14:paraId="32AE798A">
            <w:pPr>
              <w:numPr>
                <w:ilvl w:val="0"/>
                <w:numId w:val="0"/>
              </w:numPr>
              <w:spacing w:line="360" w:lineRule="auto"/>
              <w:ind w:firstLine="0" w:firstLineChars="0"/>
              <w:rPr>
                <w:rFonts w:hint="eastAsia" w:ascii="宋体" w:hAnsi="宋体" w:eastAsia="宋体" w:cs="宋体"/>
                <w:color w:val="000000"/>
                <w:szCs w:val="21"/>
                <w:highlight w:val="none"/>
              </w:rPr>
            </w:pPr>
            <w:r>
              <w:rPr>
                <w:rFonts w:hint="eastAsia" w:ascii="宋体" w:hAnsi="宋体" w:eastAsia="宋体"/>
                <w:lang w:val="en-US" w:eastAsia="zh-CN"/>
              </w:rPr>
              <w:t>13.服务期间，投标人</w:t>
            </w:r>
            <w:r>
              <w:rPr>
                <w:rFonts w:hint="eastAsia" w:ascii="宋体" w:hAnsi="宋体" w:eastAsia="宋体" w:cs="宋体"/>
                <w:color w:val="000000"/>
                <w:szCs w:val="21"/>
                <w:highlight w:val="none"/>
              </w:rPr>
              <w:t>向</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提供内镜设备故障预防工具，如内镜先端保护套等</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费用包含在报价中</w:t>
            </w:r>
            <w:r>
              <w:rPr>
                <w:rFonts w:hint="eastAsia" w:ascii="宋体" w:hAnsi="宋体" w:eastAsia="宋体" w:cs="宋体"/>
                <w:color w:val="000000"/>
                <w:szCs w:val="21"/>
                <w:highlight w:val="none"/>
              </w:rPr>
              <w:t>。</w:t>
            </w:r>
          </w:p>
          <w:p w14:paraId="248FA93D">
            <w:pPr>
              <w:numPr>
                <w:ilvl w:val="0"/>
                <w:numId w:val="0"/>
              </w:numPr>
              <w:spacing w:line="360" w:lineRule="auto"/>
              <w:ind w:firstLine="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14.投标人承诺</w:t>
            </w:r>
            <w:r>
              <w:rPr>
                <w:rFonts w:hint="eastAsia" w:ascii="宋体" w:hAnsi="宋体" w:eastAsia="宋体" w:cs="宋体"/>
                <w:color w:val="000000"/>
                <w:szCs w:val="21"/>
                <w:highlight w:val="none"/>
              </w:rPr>
              <w:t>每次</w:t>
            </w:r>
            <w:r>
              <w:rPr>
                <w:rFonts w:hint="eastAsia" w:ascii="宋体" w:hAnsi="宋体" w:eastAsia="宋体" w:cs="宋体"/>
                <w:color w:val="000000"/>
                <w:szCs w:val="21"/>
                <w:highlight w:val="none"/>
                <w:lang w:val="en-US" w:eastAsia="zh-CN"/>
              </w:rPr>
              <w:t>完成</w:t>
            </w:r>
            <w:r>
              <w:rPr>
                <w:rFonts w:hint="eastAsia" w:ascii="宋体" w:hAnsi="宋体" w:eastAsia="宋体" w:cs="宋体"/>
                <w:color w:val="000000"/>
                <w:szCs w:val="21"/>
                <w:highlight w:val="none"/>
              </w:rPr>
              <w:t>维修后出具维修报告，</w:t>
            </w:r>
            <w:r>
              <w:rPr>
                <w:rFonts w:hint="eastAsia" w:ascii="宋体" w:hAnsi="宋体" w:eastAsia="宋体" w:cs="宋体"/>
                <w:color w:val="000000"/>
                <w:szCs w:val="21"/>
                <w:highlight w:val="none"/>
                <w:lang w:val="en-US" w:eastAsia="zh-CN"/>
              </w:rPr>
              <w:t>并</w:t>
            </w:r>
            <w:r>
              <w:rPr>
                <w:rFonts w:hint="eastAsia" w:ascii="宋体" w:hAnsi="宋体" w:eastAsia="宋体" w:cs="宋体"/>
                <w:color w:val="000000"/>
                <w:szCs w:val="21"/>
                <w:highlight w:val="none"/>
              </w:rPr>
              <w:t>将保修单</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维修报告书和内镜设备一起寄给</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。维修报告书应包括故障现象</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实发故障</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修理内容等内容</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每年</w:t>
            </w:r>
            <w:r>
              <w:rPr>
                <w:rFonts w:hint="eastAsia" w:ascii="宋体" w:hAnsi="宋体" w:eastAsia="宋体" w:cs="宋体"/>
                <w:color w:val="000000"/>
                <w:szCs w:val="21"/>
                <w:highlight w:val="none"/>
                <w:lang w:val="en-US" w:eastAsia="zh-CN"/>
              </w:rPr>
              <w:t>服务结束后15个工作日内</w:t>
            </w:r>
            <w:r>
              <w:rPr>
                <w:rFonts w:hint="eastAsia" w:ascii="宋体" w:hAnsi="宋体" w:eastAsia="宋体" w:cs="宋体"/>
                <w:color w:val="000000"/>
                <w:szCs w:val="21"/>
                <w:highlight w:val="none"/>
              </w:rPr>
              <w:t>将全年内镜设备维修次数及维修内容汇总成年度维修报告交</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存档。年度维修报告应分析全年内镜故障现象</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原因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并提出维护保养意见。</w:t>
            </w:r>
          </w:p>
          <w:p w14:paraId="6C044074">
            <w:pPr>
              <w:numPr>
                <w:ilvl w:val="0"/>
                <w:numId w:val="0"/>
              </w:numPr>
              <w:spacing w:line="360" w:lineRule="auto"/>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15.</w:t>
            </w:r>
            <w:r>
              <w:rPr>
                <w:rFonts w:hint="eastAsia" w:ascii="宋体" w:hAnsi="宋体" w:eastAsia="宋体" w:cs="宋体"/>
                <w:color w:val="000000"/>
                <w:szCs w:val="21"/>
                <w:highlight w:val="none"/>
              </w:rPr>
              <w:t>内镜设备邮寄费用：故障设备</w:t>
            </w:r>
            <w:r>
              <w:rPr>
                <w:rFonts w:hint="eastAsia" w:ascii="宋体" w:hAnsi="宋体" w:eastAsia="宋体" w:cs="宋体"/>
                <w:color w:val="000000"/>
                <w:szCs w:val="21"/>
                <w:highlight w:val="none"/>
                <w:lang w:val="en-US" w:eastAsia="zh-CN"/>
              </w:rPr>
              <w:t>如通过邮寄方式寄出维修，由投标人承担所有</w:t>
            </w:r>
            <w:r>
              <w:rPr>
                <w:rFonts w:hint="eastAsia" w:ascii="宋体" w:hAnsi="宋体" w:eastAsia="宋体" w:cs="宋体"/>
                <w:color w:val="000000"/>
                <w:szCs w:val="21"/>
                <w:highlight w:val="none"/>
              </w:rPr>
              <w:t>邮寄费用</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费用包含在报价中</w:t>
            </w:r>
            <w:r>
              <w:rPr>
                <w:rFonts w:hint="eastAsia" w:ascii="宋体" w:hAnsi="宋体" w:eastAsia="宋体" w:cs="宋体"/>
                <w:color w:val="000000"/>
                <w:szCs w:val="21"/>
                <w:highlight w:val="none"/>
              </w:rPr>
              <w:t>。</w:t>
            </w:r>
          </w:p>
          <w:p w14:paraId="1CD0385A">
            <w:pPr>
              <w:numPr>
                <w:ilvl w:val="0"/>
                <w:numId w:val="0"/>
              </w:numPr>
              <w:spacing w:line="360" w:lineRule="auto"/>
              <w:ind w:firstLine="0" w:firstLineChars="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16.服务期间，提供无限次上门维修服务，维修人员的工时费、差旅费包含在报价中。</w:t>
            </w:r>
          </w:p>
          <w:p w14:paraId="59021770">
            <w:pPr>
              <w:numPr>
                <w:ilvl w:val="0"/>
                <w:numId w:val="0"/>
              </w:numPr>
              <w:spacing w:line="360" w:lineRule="auto"/>
              <w:ind w:firstLine="0" w:firstLineChars="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17.开机率确保达到≥95%，按全年365天计算，即设备全年停机时间不高于18天。停机时间高于18天的，停机每超1天（不足1天的，按1天计算），维保时间顺延2天，维保顺延所产生的费用由供应商自行承担，采购人不再另行支付。</w:t>
            </w:r>
          </w:p>
          <w:p w14:paraId="68C6A406">
            <w:pPr>
              <w:numPr>
                <w:ilvl w:val="0"/>
                <w:numId w:val="0"/>
              </w:numPr>
              <w:spacing w:line="360" w:lineRule="auto"/>
              <w:ind w:firstLine="0" w:firstLineChars="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18.合同期内，如厂家有改良软硬件，成交投标人为采购人完成相应升级，费用包含在本次报价中。</w:t>
            </w:r>
          </w:p>
          <w:p w14:paraId="58D66502">
            <w:pPr>
              <w:numPr>
                <w:ilvl w:val="0"/>
                <w:numId w:val="0"/>
              </w:numPr>
              <w:spacing w:line="360" w:lineRule="auto"/>
              <w:ind w:firstLine="0" w:firstLineChars="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19.服务期间内因故障而需更换的零件，不受数量限制。</w:t>
            </w:r>
          </w:p>
          <w:p w14:paraId="2772AF7A">
            <w:pPr>
              <w:numPr>
                <w:ilvl w:val="0"/>
                <w:numId w:val="0"/>
              </w:numPr>
              <w:spacing w:line="360" w:lineRule="auto"/>
              <w:ind w:firstLine="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20.设备维保期内，中标商严格按照说明书要求对产品进行维修、维护和保养等，若设备已达到“预期使用有效期”，中标商每年负责组织设备“注册人”对该设备进行评估1次，并出具“注册人”认可的设备临床使用安全有效，可继续使用的相关证明。相关费用包含在报价中。</w:t>
            </w:r>
          </w:p>
        </w:tc>
      </w:tr>
    </w:tbl>
    <w:p w14:paraId="212ED9E3">
      <w:p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2C6A44B">
      <w:pPr>
        <w:pStyle w:val="12"/>
        <w:jc w:val="center"/>
        <w:rPr>
          <w:rFonts w:hint="eastAsia" w:ascii="宋体" w:hAnsi="宋体" w:eastAsia="宋体" w:cs="宋体"/>
          <w:b/>
          <w:color w:val="000000"/>
          <w:szCs w:val="21"/>
        </w:rPr>
      </w:pPr>
      <w:r>
        <w:rPr>
          <w:rFonts w:hint="eastAsia" w:ascii="宋体" w:hAnsi="宋体" w:cs="宋体"/>
          <w:b w:val="0"/>
          <w:sz w:val="28"/>
          <w:szCs w:val="28"/>
          <w:lang w:eastAsia="zh-CN"/>
        </w:rPr>
        <w:t>奥林巴斯</w:t>
      </w:r>
      <w:r>
        <w:rPr>
          <w:rFonts w:hint="eastAsia" w:ascii="宋体" w:hAnsi="宋体" w:eastAsia="宋体" w:cs="宋体"/>
          <w:b w:val="0"/>
          <w:sz w:val="28"/>
          <w:szCs w:val="28"/>
        </w:rPr>
        <w:t>内镜维保服务需求参数</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85"/>
        <w:gridCol w:w="6653"/>
      </w:tblGrid>
      <w:tr w14:paraId="7ACD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00" w:type="pct"/>
            <w:gridSpan w:val="3"/>
            <w:noWrap w:val="0"/>
            <w:tcMar>
              <w:top w:w="0" w:type="dxa"/>
              <w:left w:w="0" w:type="dxa"/>
              <w:bottom w:w="0" w:type="dxa"/>
              <w:right w:w="0" w:type="dxa"/>
            </w:tcMar>
            <w:vAlign w:val="center"/>
          </w:tcPr>
          <w:p w14:paraId="6F957CCC">
            <w:pPr>
              <w:keepNext w:val="0"/>
              <w:keepLines w:val="0"/>
              <w:pageBreakBefore w:val="0"/>
              <w:kinsoku/>
              <w:overflowPunct/>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color w:val="000000"/>
                <w:szCs w:val="21"/>
              </w:rPr>
            </w:pPr>
            <w:r>
              <w:rPr>
                <w:rFonts w:hint="eastAsia" w:ascii="宋体" w:hAnsi="宋体" w:eastAsia="宋体" w:cs="宋体"/>
                <w:b/>
                <w:color w:val="000000"/>
                <w:szCs w:val="21"/>
              </w:rPr>
              <w:t>▲一、项目要求及技术需求</w:t>
            </w:r>
          </w:p>
        </w:tc>
      </w:tr>
      <w:tr w14:paraId="0A09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4" w:type="pct"/>
            <w:noWrap w:val="0"/>
            <w:tcMar>
              <w:top w:w="0" w:type="dxa"/>
              <w:left w:w="0" w:type="dxa"/>
              <w:bottom w:w="0" w:type="dxa"/>
              <w:right w:w="0" w:type="dxa"/>
            </w:tcMar>
            <w:vAlign w:val="center"/>
          </w:tcPr>
          <w:p w14:paraId="792DE693">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服务名称</w:t>
            </w:r>
          </w:p>
        </w:tc>
        <w:tc>
          <w:tcPr>
            <w:tcW w:w="530" w:type="pct"/>
            <w:noWrap w:val="0"/>
            <w:vAlign w:val="center"/>
          </w:tcPr>
          <w:p w14:paraId="23DCECBE">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 w:val="21"/>
                <w:szCs w:val="21"/>
                <w:lang w:val="en-US" w:eastAsia="zh-CN"/>
              </w:rPr>
              <w:t>数量及</w:t>
            </w:r>
            <w:r>
              <w:rPr>
                <w:rFonts w:hint="eastAsia" w:ascii="宋体" w:hAnsi="宋体" w:eastAsia="宋体" w:cs="宋体"/>
                <w:b/>
                <w:color w:val="000000"/>
                <w:sz w:val="21"/>
                <w:szCs w:val="21"/>
              </w:rPr>
              <w:t>单位</w:t>
            </w:r>
          </w:p>
        </w:tc>
        <w:tc>
          <w:tcPr>
            <w:tcW w:w="3984" w:type="pct"/>
            <w:noWrap w:val="0"/>
            <w:vAlign w:val="center"/>
          </w:tcPr>
          <w:p w14:paraId="1EE483D6">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服务参数</w:t>
            </w:r>
          </w:p>
        </w:tc>
      </w:tr>
      <w:tr w14:paraId="395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4" w:type="pct"/>
            <w:noWrap w:val="0"/>
            <w:vAlign w:val="center"/>
          </w:tcPr>
          <w:p w14:paraId="6355BE10">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eastAsia="zh-CN"/>
              </w:rPr>
              <w:t>奥林巴斯</w:t>
            </w:r>
            <w:r>
              <w:rPr>
                <w:rFonts w:hint="eastAsia" w:ascii="宋体" w:hAnsi="宋体" w:eastAsia="宋体" w:cs="宋体"/>
                <w:b/>
                <w:bCs/>
                <w:color w:val="000000"/>
                <w:szCs w:val="21"/>
                <w:highlight w:val="none"/>
                <w:lang w:eastAsia="zh-CN"/>
              </w:rPr>
              <w:t>内镜维保服务</w:t>
            </w:r>
          </w:p>
        </w:tc>
        <w:tc>
          <w:tcPr>
            <w:tcW w:w="530" w:type="pct"/>
            <w:noWrap w:val="0"/>
            <w:vAlign w:val="center"/>
          </w:tcPr>
          <w:p w14:paraId="5DDF2D91">
            <w:pPr>
              <w:keepNext w:val="0"/>
              <w:keepLines w:val="0"/>
              <w:pageBreakBefore w:val="0"/>
              <w:kinsoku/>
              <w:overflowPunct/>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rPr>
              <w:t>项</w:t>
            </w:r>
          </w:p>
        </w:tc>
        <w:tc>
          <w:tcPr>
            <w:tcW w:w="3984" w:type="pct"/>
            <w:noWrap w:val="0"/>
            <w:vAlign w:val="center"/>
          </w:tcPr>
          <w:p w14:paraId="6DC17B28">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一、奥林巴斯内窥镜及配套设备（设备明细详见</w:t>
            </w:r>
            <w:r>
              <w:rPr>
                <w:rFonts w:hint="eastAsia" w:ascii="宋体" w:hAnsi="宋体" w:cs="宋体"/>
                <w:color w:val="000000"/>
                <w:szCs w:val="21"/>
                <w:lang w:val="en-US" w:eastAsia="zh-CN"/>
              </w:rPr>
              <w:t>附件1，合计36项</w:t>
            </w:r>
            <w:r>
              <w:rPr>
                <w:rFonts w:hint="eastAsia" w:ascii="宋体" w:hAnsi="宋体" w:eastAsia="宋体" w:cs="宋体"/>
                <w:color w:val="000000"/>
                <w:szCs w:val="21"/>
                <w:lang w:val="en-US" w:eastAsia="zh-CN"/>
              </w:rPr>
              <w:t>）的维修、维护、调校、保养服务，包括：</w:t>
            </w:r>
          </w:p>
          <w:p w14:paraId="604DB296">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rPr>
              <w:t>1</w:t>
            </w:r>
            <w:r>
              <w:rPr>
                <w:rFonts w:hint="eastAsia" w:ascii="宋体" w:hAnsi="宋体" w:eastAsia="宋体" w:cs="宋体"/>
                <w:color w:val="000000"/>
                <w:szCs w:val="21"/>
                <w:highlight w:val="none"/>
              </w:rPr>
              <w:t>、消化</w:t>
            </w:r>
            <w:r>
              <w:rPr>
                <w:rFonts w:hint="eastAsia" w:ascii="宋体" w:hAnsi="宋体" w:cs="宋体"/>
                <w:color w:val="000000"/>
                <w:szCs w:val="21"/>
                <w:highlight w:val="none"/>
                <w:lang w:eastAsia="zh-CN"/>
              </w:rPr>
              <w:t>内科</w:t>
            </w:r>
            <w:r>
              <w:rPr>
                <w:rFonts w:hint="eastAsia" w:ascii="宋体" w:hAnsi="宋体" w:eastAsia="宋体" w:cs="宋体"/>
                <w:color w:val="000000"/>
                <w:szCs w:val="21"/>
                <w:highlight w:val="none"/>
              </w:rPr>
              <w:t>：奥林巴斯电子内镜</w:t>
            </w:r>
            <w:r>
              <w:rPr>
                <w:rFonts w:hint="eastAsia" w:ascii="宋体" w:hAnsi="宋体" w:cs="宋体"/>
                <w:color w:val="000000"/>
                <w:szCs w:val="21"/>
                <w:highlight w:val="none"/>
                <w:lang w:eastAsia="zh-CN"/>
              </w:rPr>
              <w:t>类设备</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lang w:val="en-US" w:eastAsia="zh-CN"/>
              </w:rPr>
              <w:t>条</w:t>
            </w:r>
            <w:r>
              <w:rPr>
                <w:rFonts w:hint="eastAsia" w:ascii="宋体" w:hAnsi="宋体" w:cs="宋体"/>
                <w:color w:val="000000"/>
                <w:szCs w:val="21"/>
                <w:highlight w:val="none"/>
                <w:lang w:val="en-US" w:eastAsia="zh-CN"/>
              </w:rPr>
              <w:t>，主机类设备3台，及配套内窥镜冷光源3台，二氧化碳送气装置2台，合计21项</w:t>
            </w:r>
            <w:r>
              <w:rPr>
                <w:rFonts w:hint="eastAsia" w:ascii="宋体" w:hAnsi="宋体" w:eastAsia="宋体" w:cs="宋体"/>
                <w:color w:val="000000"/>
                <w:szCs w:val="21"/>
                <w:highlight w:val="none"/>
              </w:rPr>
              <w:t>。</w:t>
            </w:r>
          </w:p>
          <w:p w14:paraId="03B56CB2">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2、呼吸</w:t>
            </w:r>
            <w:r>
              <w:rPr>
                <w:rFonts w:hint="eastAsia" w:ascii="宋体" w:hAnsi="宋体" w:cs="宋体"/>
                <w:color w:val="000000"/>
                <w:szCs w:val="21"/>
                <w:highlight w:val="none"/>
                <w:lang w:val="en-US" w:eastAsia="zh-CN"/>
              </w:rPr>
              <w:t>内科</w:t>
            </w:r>
            <w:r>
              <w:rPr>
                <w:rFonts w:hint="eastAsia" w:ascii="宋体" w:hAnsi="宋体" w:eastAsia="宋体" w:cs="宋体"/>
                <w:color w:val="000000"/>
                <w:szCs w:val="21"/>
                <w:highlight w:val="none"/>
                <w:lang w:val="en-US" w:eastAsia="zh-CN"/>
              </w:rPr>
              <w:t>：奥林巴斯电子呼吸内镜</w:t>
            </w:r>
            <w:r>
              <w:rPr>
                <w:rFonts w:hint="eastAsia" w:ascii="宋体" w:hAnsi="宋体" w:cs="宋体"/>
                <w:color w:val="000000"/>
                <w:szCs w:val="21"/>
                <w:highlight w:val="none"/>
                <w:lang w:val="en-US" w:eastAsia="zh-CN"/>
              </w:rPr>
              <w:t>类设备</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条</w:t>
            </w:r>
            <w:r>
              <w:rPr>
                <w:rFonts w:hint="eastAsia"/>
                <w:lang w:val="en-US" w:eastAsia="zh-CN"/>
              </w:rPr>
              <w:t>，</w:t>
            </w:r>
            <w:r>
              <w:rPr>
                <w:rFonts w:hint="eastAsia" w:ascii="宋体" w:hAnsi="宋体" w:cs="宋体"/>
                <w:szCs w:val="24"/>
                <w:highlight w:val="none"/>
                <w:lang w:eastAsia="zh-CN"/>
              </w:rPr>
              <w:t>主机类设备</w:t>
            </w:r>
            <w:r>
              <w:rPr>
                <w:rFonts w:hint="eastAsia" w:ascii="宋体" w:hAnsi="宋体" w:cs="宋体"/>
                <w:szCs w:val="24"/>
                <w:highlight w:val="none"/>
                <w:lang w:val="en-US" w:eastAsia="zh-CN"/>
              </w:rPr>
              <w:t>1台，</w:t>
            </w:r>
            <w:r>
              <w:rPr>
                <w:rFonts w:hint="eastAsia" w:ascii="宋体" w:hAnsi="宋体" w:cs="宋体"/>
                <w:color w:val="000000"/>
                <w:szCs w:val="21"/>
                <w:highlight w:val="none"/>
                <w:lang w:val="en-US" w:eastAsia="zh-CN"/>
              </w:rPr>
              <w:t>及配套内窥镜冷光源1台，超声探头驱动器1台，高清晰度液晶监视器1台，合计15项</w:t>
            </w:r>
            <w:r>
              <w:rPr>
                <w:rFonts w:hint="eastAsia" w:ascii="宋体" w:hAnsi="宋体" w:eastAsia="宋体" w:cs="宋体"/>
                <w:szCs w:val="24"/>
                <w:highlight w:val="none"/>
                <w:lang w:val="en-US" w:eastAsia="zh-CN"/>
              </w:rPr>
              <w:t>。</w:t>
            </w:r>
          </w:p>
          <w:p w14:paraId="5ED226F3">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二、</w:t>
            </w:r>
            <w:r>
              <w:rPr>
                <w:rFonts w:hint="eastAsia" w:ascii="宋体" w:hAnsi="宋体" w:eastAsia="宋体" w:cs="宋体"/>
                <w:color w:val="000000"/>
                <w:szCs w:val="21"/>
              </w:rPr>
              <w:t>维修服务形式：</w:t>
            </w:r>
          </w:p>
          <w:p w14:paraId="4BDD6365">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rPr>
            </w:pPr>
            <w:r>
              <w:rPr>
                <w:rFonts w:hint="eastAsia" w:ascii="宋体" w:hAnsi="宋体" w:eastAsia="宋体" w:cs="宋体"/>
                <w:bCs/>
                <w:szCs w:val="21"/>
              </w:rPr>
              <w:t>自合同签订之日起，三年</w:t>
            </w:r>
            <w:r>
              <w:rPr>
                <w:rFonts w:hint="eastAsia" w:ascii="宋体" w:hAnsi="宋体" w:eastAsia="宋体" w:cs="宋体"/>
                <w:szCs w:val="21"/>
              </w:rPr>
              <w:t>全保服务。</w:t>
            </w:r>
          </w:p>
          <w:p w14:paraId="1276E527">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三、全保服务内容：</w:t>
            </w:r>
          </w:p>
          <w:p w14:paraId="40D592F7">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cs="宋体"/>
                <w:color w:val="000000"/>
                <w:szCs w:val="21"/>
                <w:lang w:val="en-US" w:eastAsia="zh-CN"/>
              </w:rPr>
              <w:t>.</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rPr>
              <w:t>对全保内镜设备进行维修</w:t>
            </w:r>
          </w:p>
          <w:p w14:paraId="6F8CF701">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自然损耗以及按照正规要求操作或清洗消毒的情况下发生的故障，</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要进行无条件</w:t>
            </w:r>
            <w:r>
              <w:rPr>
                <w:rFonts w:hint="eastAsia" w:ascii="宋体" w:hAnsi="宋体" w:eastAsia="宋体" w:cs="宋体"/>
                <w:color w:val="000000"/>
                <w:szCs w:val="21"/>
                <w:highlight w:val="none"/>
                <w:u w:val="none"/>
              </w:rPr>
              <w:t>及时</w:t>
            </w:r>
            <w:r>
              <w:rPr>
                <w:rFonts w:hint="eastAsia" w:ascii="宋体" w:hAnsi="宋体" w:eastAsia="宋体" w:cs="宋体"/>
                <w:color w:val="000000"/>
                <w:szCs w:val="21"/>
                <w:highlight w:val="none"/>
              </w:rPr>
              <w:t>维修。属于故意人为损坏的，不列为全保维修范围内，但</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要</w:t>
            </w:r>
            <w:r>
              <w:rPr>
                <w:rFonts w:hint="eastAsia" w:ascii="宋体" w:hAnsi="宋体" w:eastAsia="宋体" w:cs="宋体"/>
                <w:color w:val="000000"/>
                <w:szCs w:val="21"/>
              </w:rPr>
              <w:t>积极帮助维修，并提供价格合理的零配件服务，其费用另计。</w:t>
            </w:r>
          </w:p>
          <w:p w14:paraId="6EB87DF7">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highlight w:val="none"/>
                <w:lang w:val="en-US" w:eastAsia="zh-CN"/>
              </w:rPr>
              <w:t>投标人</w:t>
            </w:r>
            <w:r>
              <w:rPr>
                <w:rFonts w:hint="eastAsia" w:ascii="宋体" w:hAnsi="宋体" w:eastAsia="宋体" w:cs="宋体"/>
                <w:color w:val="auto"/>
                <w:szCs w:val="21"/>
                <w:u w:val="none"/>
              </w:rPr>
              <w:t>必须</w:t>
            </w:r>
            <w:r>
              <w:rPr>
                <w:rFonts w:hint="eastAsia" w:ascii="宋体" w:hAnsi="宋体" w:eastAsia="宋体" w:cs="宋体"/>
                <w:color w:val="000000"/>
                <w:szCs w:val="21"/>
              </w:rPr>
              <w:t>提供所有维修内镜设备的零配件</w:t>
            </w:r>
            <w:r>
              <w:rPr>
                <w:rFonts w:hint="eastAsia" w:ascii="宋体" w:hAnsi="宋体" w:cs="宋体"/>
                <w:color w:val="000000"/>
                <w:szCs w:val="21"/>
                <w:lang w:eastAsia="zh-CN"/>
              </w:rPr>
              <w:t>维修、更换服务</w:t>
            </w:r>
          </w:p>
          <w:p w14:paraId="66BD1F61">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auto"/>
                <w:szCs w:val="21"/>
                <w:highlight w:val="none"/>
                <w:u w:val="none"/>
              </w:rPr>
            </w:pPr>
            <w:r>
              <w:rPr>
                <w:rFonts w:hint="eastAsia" w:ascii="宋体" w:hAnsi="宋体" w:cs="宋体"/>
                <w:color w:val="000000"/>
                <w:szCs w:val="21"/>
                <w:lang w:val="en-US" w:eastAsia="zh-CN"/>
              </w:rPr>
              <w:t>2.1.</w:t>
            </w:r>
            <w:r>
              <w:rPr>
                <w:rFonts w:hint="eastAsia" w:ascii="宋体" w:hAnsi="宋体" w:eastAsia="宋体" w:cs="宋体"/>
                <w:color w:val="000000"/>
                <w:szCs w:val="21"/>
              </w:rPr>
              <w:t>零配件供应要充足、及时。维修内镜设备</w:t>
            </w:r>
            <w:r>
              <w:rPr>
                <w:rFonts w:hint="eastAsia" w:ascii="宋体" w:hAnsi="宋体" w:eastAsia="宋体" w:cs="宋体"/>
                <w:color w:val="auto"/>
                <w:szCs w:val="21"/>
                <w:u w:val="none"/>
              </w:rPr>
              <w:t>时必须使用厂家</w:t>
            </w:r>
            <w:r>
              <w:rPr>
                <w:rFonts w:hint="eastAsia" w:ascii="宋体" w:hAnsi="宋体" w:eastAsia="宋体" w:cs="宋体"/>
                <w:color w:val="000000"/>
                <w:szCs w:val="21"/>
              </w:rPr>
              <w:t>生产的未拆封原装零配件，并优先运送零配件</w:t>
            </w:r>
            <w:r>
              <w:rPr>
                <w:rFonts w:hint="eastAsia" w:ascii="宋体" w:hAnsi="宋体" w:cs="宋体"/>
                <w:color w:val="000000"/>
                <w:szCs w:val="21"/>
                <w:lang w:eastAsia="zh-CN"/>
              </w:rPr>
              <w:t>。</w:t>
            </w:r>
            <w:r>
              <w:rPr>
                <w:rFonts w:hint="eastAsia" w:ascii="宋体" w:hAnsi="宋体" w:eastAsia="宋体" w:cs="宋体"/>
                <w:color w:val="auto"/>
                <w:szCs w:val="21"/>
                <w:highlight w:val="none"/>
                <w:u w:val="none"/>
                <w:lang w:val="en-US" w:eastAsia="zh-CN"/>
              </w:rPr>
              <w:t>如采购人有要求，投标人需出示</w:t>
            </w:r>
            <w:r>
              <w:rPr>
                <w:rFonts w:hint="eastAsia" w:ascii="宋体" w:hAnsi="宋体" w:eastAsia="宋体" w:cs="宋体"/>
                <w:color w:val="000000"/>
                <w:szCs w:val="21"/>
                <w:highlight w:val="none"/>
                <w:u w:val="none"/>
                <w:lang w:val="en-US" w:eastAsia="zh-CN"/>
              </w:rPr>
              <w:t>向厂家购买配件合同或报关单等证明材料</w:t>
            </w:r>
            <w:r>
              <w:rPr>
                <w:rFonts w:hint="eastAsia" w:ascii="宋体" w:hAnsi="宋体" w:eastAsia="宋体" w:cs="宋体"/>
                <w:color w:val="auto"/>
                <w:szCs w:val="21"/>
                <w:highlight w:val="none"/>
                <w:u w:val="none"/>
              </w:rPr>
              <w:t>。</w:t>
            </w:r>
          </w:p>
          <w:p w14:paraId="08BDD1AD">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w:t>
            </w:r>
            <w:r>
              <w:rPr>
                <w:rFonts w:hint="eastAsia"/>
              </w:rPr>
              <w:t>更换的零配件</w:t>
            </w:r>
            <w:r>
              <w:rPr>
                <w:rFonts w:hint="eastAsia" w:ascii="宋体" w:hAnsi="宋体" w:eastAsia="宋体" w:cs="宋体"/>
                <w:color w:val="000000"/>
                <w:szCs w:val="21"/>
                <w:highlight w:val="none"/>
                <w:lang w:val="en-US" w:eastAsia="zh-CN"/>
              </w:rPr>
              <w:t>至少</w:t>
            </w:r>
            <w:r>
              <w:rPr>
                <w:rFonts w:hint="eastAsia" w:ascii="宋体" w:hAnsi="宋体" w:eastAsia="宋体" w:cs="宋体"/>
                <w:color w:val="000000"/>
                <w:szCs w:val="21"/>
              </w:rPr>
              <w:t>包括CCD、导光束、超声换能器等各种零配件。而电缆线、水瓶、键盘、脚踏开关、治疗附件、光源灯泡、清洗配件等不在保修范围</w:t>
            </w:r>
            <w:r>
              <w:rPr>
                <w:rFonts w:hint="eastAsia" w:ascii="宋体" w:hAnsi="宋体" w:cs="宋体"/>
                <w:color w:val="000000"/>
                <w:szCs w:val="21"/>
                <w:lang w:eastAsia="zh-CN"/>
              </w:rPr>
              <w:t>，</w:t>
            </w:r>
            <w:r>
              <w:rPr>
                <w:rFonts w:hint="eastAsia"/>
              </w:rPr>
              <w:t>更换的零配件保修时间为半年</w:t>
            </w:r>
            <w:r>
              <w:rPr>
                <w:rFonts w:hint="eastAsia" w:ascii="宋体" w:hAnsi="宋体" w:eastAsia="宋体" w:cs="宋体"/>
                <w:color w:val="000000"/>
                <w:szCs w:val="21"/>
              </w:rPr>
              <w:t>。</w:t>
            </w:r>
          </w:p>
          <w:p w14:paraId="2B3A9D72">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3.投标人</w:t>
            </w:r>
            <w:r>
              <w:rPr>
                <w:rFonts w:hint="eastAsia" w:ascii="宋体" w:hAnsi="宋体" w:eastAsia="宋体" w:cs="宋体"/>
                <w:color w:val="auto"/>
                <w:szCs w:val="21"/>
                <w:highlight w:val="none"/>
                <w:u w:val="none"/>
              </w:rPr>
              <w:t>要及时维修故障内镜设备，保证24小时之内完成小维修，保证10个工作日内完成大维修</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其中小维修及大维修具体范围由</w:t>
            </w:r>
            <w:r>
              <w:rPr>
                <w:rFonts w:hint="eastAsia" w:ascii="宋体" w:hAnsi="宋体" w:cs="宋体"/>
                <w:color w:val="auto"/>
                <w:szCs w:val="21"/>
                <w:highlight w:val="none"/>
                <w:u w:val="none"/>
                <w:lang w:val="en-US" w:eastAsia="zh-CN"/>
              </w:rPr>
              <w:t>投标人</w:t>
            </w:r>
            <w:r>
              <w:rPr>
                <w:rFonts w:hint="eastAsia" w:ascii="宋体" w:hAnsi="宋体" w:eastAsia="宋体" w:cs="宋体"/>
                <w:color w:val="auto"/>
                <w:szCs w:val="21"/>
                <w:highlight w:val="none"/>
                <w:u w:val="none"/>
                <w:lang w:val="en-US" w:eastAsia="zh-CN"/>
              </w:rPr>
              <w:t>在响应文件中自行申报列明，并作为</w:t>
            </w:r>
            <w:r>
              <w:rPr>
                <w:rFonts w:hint="eastAsia" w:ascii="宋体" w:hAnsi="宋体" w:cs="宋体"/>
                <w:color w:val="auto"/>
                <w:szCs w:val="21"/>
                <w:highlight w:val="none"/>
                <w:u w:val="none"/>
                <w:lang w:val="en-US" w:eastAsia="zh-CN"/>
              </w:rPr>
              <w:t>投标人</w:t>
            </w:r>
            <w:r>
              <w:rPr>
                <w:rFonts w:hint="eastAsia" w:ascii="宋体" w:hAnsi="宋体" w:eastAsia="宋体" w:cs="宋体"/>
                <w:color w:val="auto"/>
                <w:szCs w:val="21"/>
                <w:highlight w:val="none"/>
                <w:u w:val="none"/>
                <w:lang w:val="en-US" w:eastAsia="zh-CN"/>
              </w:rPr>
              <w:t>技术方案的一部分）</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 xml:space="preserve"> </w:t>
            </w:r>
          </w:p>
          <w:p w14:paraId="49933369">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lang w:eastAsia="zh-CN"/>
              </w:rPr>
            </w:pPr>
            <w:r>
              <w:rPr>
                <w:rFonts w:hint="eastAsia" w:ascii="宋体" w:hAnsi="宋体" w:cs="宋体"/>
                <w:color w:val="auto"/>
                <w:szCs w:val="21"/>
                <w:highlight w:val="none"/>
                <w:u w:val="none"/>
                <w:lang w:val="en-US" w:eastAsia="zh-CN"/>
              </w:rPr>
              <w:t>4.</w:t>
            </w:r>
            <w:r>
              <w:rPr>
                <w:rFonts w:hint="eastAsia" w:ascii="宋体" w:hAnsi="宋体" w:eastAsia="宋体"/>
                <w:lang w:val="en-US" w:eastAsia="zh-CN"/>
              </w:rPr>
              <w:t>投标人提供不少于2名具有厂家培训资质的工程师</w:t>
            </w:r>
            <w:r>
              <w:rPr>
                <w:rFonts w:hint="eastAsia" w:ascii="宋体" w:hAnsi="宋体" w:eastAsia="宋体"/>
              </w:rPr>
              <w:t>负责</w:t>
            </w:r>
            <w:r>
              <w:rPr>
                <w:rFonts w:hint="eastAsia" w:ascii="宋体" w:hAnsi="宋体" w:eastAsia="宋体"/>
                <w:lang w:val="en-US" w:eastAsia="zh-CN"/>
              </w:rPr>
              <w:t>本服务</w:t>
            </w:r>
            <w:r>
              <w:rPr>
                <w:rFonts w:hint="eastAsia" w:ascii="宋体" w:hAnsi="宋体" w:eastAsia="宋体"/>
              </w:rPr>
              <w:t>的内镜</w:t>
            </w:r>
            <w:r>
              <w:rPr>
                <w:rFonts w:hint="eastAsia" w:ascii="宋体" w:hAnsi="宋体" w:eastAsia="宋体"/>
                <w:lang w:eastAsia="zh-CN"/>
              </w:rPr>
              <w:t>设备保养、</w:t>
            </w:r>
            <w:r>
              <w:rPr>
                <w:rFonts w:hint="eastAsia" w:ascii="宋体" w:hAnsi="宋体" w:eastAsia="宋体"/>
              </w:rPr>
              <w:t>维修和</w:t>
            </w:r>
            <w:r>
              <w:rPr>
                <w:rFonts w:hint="eastAsia" w:ascii="宋体" w:hAnsi="宋体" w:eastAsia="宋体" w:cs="宋体"/>
                <w:color w:val="000000"/>
                <w:szCs w:val="21"/>
              </w:rPr>
              <w:t>内镜操作、清洗</w:t>
            </w:r>
            <w:r>
              <w:rPr>
                <w:rFonts w:hint="eastAsia" w:ascii="宋体" w:hAnsi="宋体" w:eastAsia="宋体" w:cs="宋体"/>
                <w:color w:val="000000"/>
                <w:szCs w:val="21"/>
                <w:lang w:eastAsia="zh-CN"/>
              </w:rPr>
              <w:t>、</w:t>
            </w:r>
            <w:r>
              <w:rPr>
                <w:rFonts w:hint="eastAsia" w:ascii="宋体" w:hAnsi="宋体" w:eastAsia="宋体" w:cs="宋体"/>
                <w:color w:val="000000"/>
                <w:szCs w:val="21"/>
              </w:rPr>
              <w:t>培训等相关工作</w:t>
            </w:r>
            <w:r>
              <w:rPr>
                <w:rFonts w:hint="eastAsia" w:ascii="宋体" w:hAnsi="宋体" w:eastAsia="宋体"/>
                <w:lang w:eastAsia="zh-CN"/>
              </w:rPr>
              <w:t>（提供厂家培训证书）</w:t>
            </w:r>
            <w:r>
              <w:rPr>
                <w:rFonts w:hint="eastAsia" w:ascii="宋体" w:hAnsi="宋体" w:eastAsia="宋体"/>
              </w:rPr>
              <w:t>。如工程师有变更，</w:t>
            </w:r>
            <w:r>
              <w:rPr>
                <w:rFonts w:hint="eastAsia" w:ascii="宋体" w:hAnsi="宋体" w:eastAsia="宋体"/>
                <w:lang w:val="en-US" w:eastAsia="zh-CN"/>
              </w:rPr>
              <w:t>投标人需在变更后的7个工作日内以书面形式提交更换工程师备案表至采购人（格式自拟）</w:t>
            </w:r>
          </w:p>
          <w:p w14:paraId="65B77AFE">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lang w:val="en-US" w:eastAsia="zh-CN"/>
              </w:rPr>
              <w:t>5.</w:t>
            </w:r>
            <w:r>
              <w:rPr>
                <w:rFonts w:hint="eastAsia" w:ascii="宋体" w:hAnsi="宋体" w:eastAsia="宋体" w:cs="宋体"/>
                <w:color w:val="000000"/>
                <w:szCs w:val="21"/>
              </w:rPr>
              <w:t>维修工程师提供24小时×7天的电话咨询服务。正常工作日时工程师保证在</w:t>
            </w:r>
            <w:r>
              <w:rPr>
                <w:rFonts w:hint="eastAsia" w:ascii="宋体" w:hAnsi="宋体" w:cs="宋体"/>
                <w:color w:val="000000"/>
                <w:szCs w:val="21"/>
                <w:lang w:val="en-US" w:eastAsia="zh-CN"/>
              </w:rPr>
              <w:t>24</w:t>
            </w:r>
            <w:r>
              <w:rPr>
                <w:rFonts w:hint="eastAsia" w:ascii="宋体" w:hAnsi="宋体" w:eastAsia="宋体" w:cs="宋体"/>
                <w:color w:val="000000"/>
                <w:szCs w:val="21"/>
              </w:rPr>
              <w:t>小时</w:t>
            </w:r>
            <w:r>
              <w:rPr>
                <w:rFonts w:hint="eastAsia" w:ascii="宋体" w:hAnsi="宋体" w:eastAsia="宋体" w:cs="宋体"/>
                <w:color w:val="000000"/>
                <w:szCs w:val="21"/>
                <w:highlight w:val="none"/>
              </w:rPr>
              <w:t>内提供现场维修服务。</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享有</w:t>
            </w:r>
            <w:r>
              <w:rPr>
                <w:rFonts w:hint="eastAsia" w:ascii="宋体" w:hAnsi="宋体" w:cs="宋体"/>
                <w:color w:val="000000"/>
                <w:szCs w:val="21"/>
                <w:highlight w:val="none"/>
                <w:lang w:val="en-US" w:eastAsia="zh-CN"/>
              </w:rPr>
              <w:t>投标</w:t>
            </w:r>
            <w:r>
              <w:rPr>
                <w:rFonts w:hint="eastAsia" w:ascii="宋体" w:hAnsi="宋体" w:eastAsia="宋体" w:cs="宋体"/>
                <w:color w:val="000000"/>
                <w:szCs w:val="21"/>
                <w:highlight w:val="none"/>
                <w:lang w:val="en-US" w:eastAsia="zh-CN"/>
              </w:rPr>
              <w:t>人</w:t>
            </w:r>
            <w:r>
              <w:rPr>
                <w:rFonts w:hint="eastAsia" w:ascii="宋体" w:hAnsi="宋体" w:eastAsia="宋体" w:cs="宋体"/>
                <w:color w:val="000000"/>
                <w:szCs w:val="21"/>
                <w:highlight w:val="none"/>
              </w:rPr>
              <w:t>的优先派工权，保修合同期内所有人工费用</w:t>
            </w:r>
            <w:r>
              <w:rPr>
                <w:rFonts w:hint="eastAsia" w:ascii="宋体" w:hAnsi="宋体" w:eastAsia="宋体" w:cs="宋体"/>
                <w:color w:val="000000"/>
                <w:szCs w:val="21"/>
                <w:highlight w:val="none"/>
                <w:lang w:val="en-US" w:eastAsia="zh-CN"/>
              </w:rPr>
              <w:t>包含在报价中</w:t>
            </w:r>
            <w:r>
              <w:rPr>
                <w:rFonts w:hint="eastAsia" w:ascii="宋体" w:hAnsi="宋体" w:eastAsia="宋体" w:cs="宋体"/>
                <w:color w:val="000000"/>
                <w:szCs w:val="21"/>
                <w:highlight w:val="none"/>
              </w:rPr>
              <w:t>。</w:t>
            </w:r>
          </w:p>
          <w:p w14:paraId="7A2066D2">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维修工程师要为</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提供每月</w:t>
            </w:r>
            <w:r>
              <w:rPr>
                <w:rFonts w:hint="eastAsia" w:ascii="宋体" w:hAnsi="宋体" w:eastAsia="宋体" w:cs="宋体"/>
                <w:color w:val="000000"/>
                <w:szCs w:val="21"/>
                <w:highlight w:val="none"/>
                <w:lang w:val="en-US" w:eastAsia="zh-CN"/>
              </w:rPr>
              <w:t>至少</w:t>
            </w:r>
            <w:r>
              <w:rPr>
                <w:rFonts w:hint="eastAsia" w:ascii="宋体" w:hAnsi="宋体" w:eastAsia="宋体" w:cs="宋体"/>
                <w:color w:val="000000"/>
                <w:szCs w:val="21"/>
                <w:highlight w:val="none"/>
              </w:rPr>
              <w:t>一次的内镜设备巡检</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三月一次定检：检查内镜设备的技术性能并保养设备，向</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提供</w:t>
            </w:r>
            <w:r>
              <w:rPr>
                <w:rFonts w:hint="eastAsia" w:ascii="宋体" w:hAnsi="宋体" w:cs="宋体"/>
                <w:color w:val="000000"/>
                <w:szCs w:val="21"/>
                <w:highlight w:val="none"/>
                <w:lang w:eastAsia="zh-CN"/>
              </w:rPr>
              <w:t>巡检、点检报告及</w:t>
            </w:r>
            <w:r>
              <w:rPr>
                <w:rFonts w:hint="eastAsia" w:ascii="宋体" w:hAnsi="宋体" w:eastAsia="宋体" w:cs="宋体"/>
                <w:color w:val="000000"/>
                <w:szCs w:val="21"/>
                <w:highlight w:val="none"/>
              </w:rPr>
              <w:t>书面保养维修意见</w:t>
            </w:r>
            <w:r>
              <w:rPr>
                <w:rFonts w:hint="eastAsia" w:ascii="宋体" w:hAnsi="宋体" w:cs="宋体"/>
                <w:color w:val="000000"/>
                <w:szCs w:val="21"/>
                <w:highlight w:val="none"/>
                <w:lang w:eastAsia="zh-CN"/>
              </w:rPr>
              <w:t>，每年开展至少一次深度保养</w:t>
            </w:r>
            <w:r>
              <w:rPr>
                <w:rFonts w:hint="eastAsia" w:ascii="宋体" w:hAnsi="宋体" w:eastAsia="宋体" w:cs="宋体"/>
                <w:color w:val="000000"/>
                <w:szCs w:val="21"/>
                <w:highlight w:val="none"/>
              </w:rPr>
              <w:t>。</w:t>
            </w:r>
          </w:p>
          <w:p w14:paraId="58ED6E30">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维修工程师要每半年进行</w:t>
            </w:r>
            <w:r>
              <w:rPr>
                <w:rFonts w:hint="eastAsia" w:ascii="宋体" w:hAnsi="宋体" w:eastAsia="宋体" w:cs="宋体"/>
                <w:color w:val="000000"/>
                <w:szCs w:val="21"/>
                <w:highlight w:val="none"/>
                <w:lang w:val="en-US" w:eastAsia="zh-CN"/>
              </w:rPr>
              <w:t>至少</w:t>
            </w:r>
            <w:r>
              <w:rPr>
                <w:rFonts w:hint="eastAsia" w:ascii="宋体" w:hAnsi="宋体" w:eastAsia="宋体" w:cs="宋体"/>
                <w:color w:val="000000"/>
                <w:szCs w:val="21"/>
                <w:highlight w:val="none"/>
              </w:rPr>
              <w:t>一次内镜设备详查和对周边设备开箱除尘清洁服务，并提交书面检查报告给医院存档。</w:t>
            </w:r>
          </w:p>
          <w:p w14:paraId="57FA4B29">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9</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内镜设备出现故障无法及时修复时，</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在设备出现故障的三天内提供备用设备（同类镜子</w:t>
            </w:r>
            <w:r>
              <w:rPr>
                <w:rFonts w:hint="eastAsia" w:ascii="宋体" w:hAnsi="宋体" w:cs="宋体"/>
                <w:color w:val="000000"/>
                <w:szCs w:val="21"/>
                <w:highlight w:val="none"/>
                <w:lang w:eastAsia="zh-CN"/>
              </w:rPr>
              <w:t>，需要出具合法采购资质备查</w:t>
            </w:r>
            <w:r>
              <w:rPr>
                <w:rFonts w:hint="eastAsia" w:ascii="宋体" w:hAnsi="宋体" w:eastAsia="宋体" w:cs="宋体"/>
                <w:color w:val="000000"/>
                <w:szCs w:val="21"/>
                <w:highlight w:val="none"/>
              </w:rPr>
              <w:t>）给</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使用，</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享有优先获得维修及使用备用设备的权利。</w:t>
            </w:r>
          </w:p>
          <w:p w14:paraId="637FA4CD">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10</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要主动向</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提供内镜设备故障预防工具，如内镜先端保护套等。</w:t>
            </w:r>
          </w:p>
          <w:p w14:paraId="63A833D0">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11</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要根据</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的需求，对相关内镜从业人员进行内镜、附件的操作使用、清洗消毒及保养维护常知提供院内培训</w:t>
            </w:r>
            <w:r>
              <w:rPr>
                <w:rFonts w:hint="eastAsia" w:ascii="宋体" w:hAnsi="宋体" w:eastAsia="宋体" w:cs="宋体"/>
                <w:color w:val="000000"/>
                <w:szCs w:val="21"/>
                <w:highlight w:val="none"/>
                <w:lang w:val="en-US" w:eastAsia="zh-CN"/>
              </w:rPr>
              <w:t>的费用包含在报价中</w:t>
            </w:r>
            <w:r>
              <w:rPr>
                <w:rFonts w:hint="eastAsia" w:ascii="宋体" w:hAnsi="宋体" w:eastAsia="宋体" w:cs="宋体"/>
                <w:color w:val="000000"/>
                <w:szCs w:val="21"/>
                <w:highlight w:val="none"/>
              </w:rPr>
              <w:t>。</w:t>
            </w:r>
          </w:p>
          <w:p w14:paraId="7181E5B6">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12</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完成每次内镜设备维修后要出具维修报告，应将保修单、维修报告书和内镜设备一起寄给</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。维修报告书应包括故障现象、实发故障、修理内容及备注等内容。</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每年底要将全年内镜设备维修次数及维修内容汇总成年度维修报告交</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存档。年度维修报告应分析全年内镜故障现象、原因并提出维护保养意见。</w:t>
            </w:r>
          </w:p>
          <w:p w14:paraId="01CEB9B5">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13</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内镜设备邮寄费用：有故障的内镜设备由</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寄给</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维修，并</w:t>
            </w:r>
            <w:r>
              <w:rPr>
                <w:rFonts w:hint="eastAsia" w:ascii="宋体" w:hAnsi="宋体" w:eastAsia="宋体" w:cs="宋体"/>
                <w:color w:val="000000"/>
                <w:szCs w:val="21"/>
                <w:highlight w:val="none"/>
                <w:lang w:val="en-US" w:eastAsia="zh-CN"/>
              </w:rPr>
              <w:t>由</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负责邮寄费用。修复后的内镜设备由</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highlight w:val="none"/>
              </w:rPr>
              <w:t>寄回给</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rPr>
              <w:t>，并</w:t>
            </w:r>
            <w:r>
              <w:rPr>
                <w:rFonts w:hint="eastAsia" w:ascii="宋体" w:hAnsi="宋体" w:eastAsia="宋体" w:cs="宋体"/>
                <w:color w:val="000000"/>
                <w:szCs w:val="21"/>
                <w:highlight w:val="none"/>
                <w:lang w:val="en-US" w:eastAsia="zh-CN"/>
              </w:rPr>
              <w:t>由</w:t>
            </w:r>
            <w:r>
              <w:rPr>
                <w:rFonts w:hint="eastAsia" w:ascii="宋体" w:hAnsi="宋体" w:cs="宋体"/>
                <w:color w:val="000000"/>
                <w:szCs w:val="21"/>
                <w:highlight w:val="none"/>
                <w:lang w:val="en-US" w:eastAsia="zh-CN"/>
              </w:rPr>
              <w:t>投标人</w:t>
            </w:r>
            <w:r>
              <w:rPr>
                <w:rFonts w:hint="eastAsia" w:ascii="宋体" w:hAnsi="宋体" w:eastAsia="宋体" w:cs="宋体"/>
                <w:color w:val="000000"/>
                <w:szCs w:val="21"/>
              </w:rPr>
              <w:t>负责邮寄费用。</w:t>
            </w:r>
          </w:p>
          <w:p w14:paraId="5D156B16">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14</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根据国家对医疗器械注册管理规定，更换配件后的器械必须保持与厂家注册技术标准一致</w:t>
            </w:r>
            <w:r>
              <w:rPr>
                <w:rFonts w:hint="eastAsia" w:ascii="宋体" w:hAnsi="宋体" w:cs="宋体"/>
                <w:color w:val="000000"/>
                <w:szCs w:val="21"/>
                <w:highlight w:val="none"/>
                <w:lang w:val="en-US" w:eastAsia="zh-CN"/>
              </w:rPr>
              <w:t>。</w:t>
            </w:r>
          </w:p>
          <w:p w14:paraId="1D4C7944">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四、维保内容要求</w:t>
            </w:r>
          </w:p>
          <w:p w14:paraId="5934EA7C">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具备维护、保养、维修内窥镜的能力。</w:t>
            </w:r>
          </w:p>
          <w:p w14:paraId="042F984E">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提供24小时免费维修服务热线，提供在线技术咨询和维修诊断。</w:t>
            </w:r>
          </w:p>
          <w:p w14:paraId="23F56E04">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设备发生故障时，初次响应时间：1小时内，并提供电话技术支持。</w:t>
            </w:r>
          </w:p>
          <w:p w14:paraId="21B591ED">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现场响应时间：</w:t>
            </w:r>
            <w:r>
              <w:rPr>
                <w:rFonts w:hint="eastAsia" w:ascii="宋体" w:hAnsi="宋体" w:cs="宋体"/>
                <w:color w:val="000000"/>
                <w:szCs w:val="21"/>
                <w:highlight w:val="none"/>
                <w:lang w:val="en-US" w:eastAsia="zh-CN"/>
              </w:rPr>
              <w:t>24</w:t>
            </w:r>
            <w:r>
              <w:rPr>
                <w:rFonts w:hint="eastAsia" w:ascii="宋体" w:hAnsi="宋体" w:eastAsia="宋体" w:cs="宋体"/>
                <w:color w:val="000000"/>
                <w:szCs w:val="21"/>
                <w:highlight w:val="none"/>
                <w:lang w:val="en-US" w:eastAsia="zh-CN"/>
              </w:rPr>
              <w:t>小时内到达设备现场进行维修，排除故障。</w:t>
            </w:r>
          </w:p>
          <w:p w14:paraId="29EE02BD">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每年至少提供</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val="en-US" w:eastAsia="zh-CN"/>
              </w:rPr>
              <w:t>次整机维护保养，其中至少包括安全检查，影像质量检查，设备除尘保养，运行状态检查，并提供定期维护保养报告。</w:t>
            </w:r>
          </w:p>
          <w:p w14:paraId="6DF9FEA4">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提供无限次上门维修服务，含维修人员的工时费、差旅费。</w:t>
            </w:r>
          </w:p>
          <w:p w14:paraId="2D53D582">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中国国内设有备件库，为</w:t>
            </w:r>
            <w:r>
              <w:rPr>
                <w:rFonts w:hint="eastAsia" w:ascii="宋体" w:hAnsi="宋体" w:eastAsia="宋体" w:cs="宋体"/>
                <w:caps/>
                <w:color w:val="000000"/>
                <w:sz w:val="21"/>
                <w:szCs w:val="21"/>
                <w:highlight w:val="none"/>
                <w:lang w:val="en-US" w:eastAsia="zh-CN"/>
              </w:rPr>
              <w:t>采购人</w:t>
            </w:r>
            <w:r>
              <w:rPr>
                <w:rFonts w:hint="eastAsia" w:ascii="宋体" w:hAnsi="宋体" w:eastAsia="宋体" w:cs="宋体"/>
                <w:color w:val="000000"/>
                <w:szCs w:val="21"/>
                <w:highlight w:val="none"/>
                <w:lang w:val="en-US" w:eastAsia="zh-CN"/>
              </w:rPr>
              <w:t>服务提供快捷的备件供应。</w:t>
            </w:r>
          </w:p>
          <w:p w14:paraId="26DA7554">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8</w:t>
            </w:r>
            <w:r>
              <w:rPr>
                <w:rFonts w:hint="eastAsia" w:ascii="宋体" w:hAnsi="宋体" w:cs="宋体"/>
                <w:color w:val="000000"/>
                <w:szCs w:val="21"/>
                <w:highlight w:val="none"/>
                <w:lang w:val="en-US" w:eastAsia="zh-CN"/>
              </w:rPr>
              <w:t>.</w:t>
            </w:r>
            <w:r>
              <w:rPr>
                <w:rFonts w:hint="eastAsia" w:ascii="宋体" w:hAnsi="宋体" w:eastAsia="宋体" w:cs="宋体"/>
                <w:color w:val="000000"/>
                <w:szCs w:val="21"/>
                <w:lang w:val="en-US" w:eastAsia="zh-CN"/>
              </w:rPr>
              <w:t>保证有在48小时内提供备品备件的能力，最长不超过七个工作日。</w:t>
            </w:r>
          </w:p>
          <w:p w14:paraId="2DE4B03C">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9</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维修用件须</w:t>
            </w:r>
            <w:r>
              <w:rPr>
                <w:rFonts w:hint="eastAsia" w:ascii="宋体" w:hAnsi="宋体" w:eastAsia="宋体" w:cs="宋体"/>
                <w:color w:val="000000"/>
                <w:szCs w:val="21"/>
                <w:highlight w:val="none"/>
                <w:lang w:val="en-US" w:eastAsia="zh-CN"/>
              </w:rPr>
              <w:t>为原装生产全</w:t>
            </w:r>
            <w:r>
              <w:rPr>
                <w:rFonts w:hint="eastAsia" w:ascii="宋体" w:hAnsi="宋体" w:eastAsia="宋体" w:cs="宋体"/>
                <w:color w:val="000000"/>
                <w:szCs w:val="21"/>
                <w:lang w:val="en-US" w:eastAsia="zh-CN"/>
              </w:rPr>
              <w:t>新备件，并保证维修后的技术参数与原机数据相同。</w:t>
            </w:r>
          </w:p>
          <w:p w14:paraId="2CD84CA5">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u w:val="none"/>
                <w:lang w:val="en-US" w:eastAsia="zh-CN"/>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lang w:val="en-US" w:eastAsia="zh-CN"/>
              </w:rPr>
              <w:t>0</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零配件应具备取得零配件的合法渠道，且保证零配件必须是符合国家相关规范要求的合格产品</w:t>
            </w:r>
            <w:r>
              <w:rPr>
                <w:rFonts w:hint="eastAsia" w:ascii="宋体" w:hAnsi="宋体" w:eastAsia="宋体" w:cs="宋体"/>
                <w:color w:val="000000"/>
                <w:szCs w:val="21"/>
                <w:highlight w:val="none"/>
                <w:lang w:val="en-US" w:eastAsia="zh-CN"/>
              </w:rPr>
              <w:t>。在相关零配件上机装配前，</w:t>
            </w:r>
            <w:r>
              <w:rPr>
                <w:rFonts w:hint="eastAsia" w:ascii="宋体" w:hAnsi="宋体" w:eastAsia="宋体" w:cs="宋体"/>
                <w:color w:val="000000"/>
                <w:szCs w:val="21"/>
                <w:highlight w:val="none"/>
                <w:u w:val="none"/>
                <w:lang w:val="en-US" w:eastAsia="zh-CN"/>
              </w:rPr>
              <w:t>提供向厂家购买配件合同或报关单等证明材料。</w:t>
            </w:r>
          </w:p>
          <w:p w14:paraId="72002782">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11</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开机率确保达到≥95%，按全年365天计算，即设备全年停机时间不高于18天。停机时间高于18天的，停机每超1天（不足1天的，按1天计算），维保时间顺延2天，维保顺延所产生的费用由供应商自行承担，采购人不再另行支付。</w:t>
            </w:r>
          </w:p>
          <w:p w14:paraId="0547DE0C">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12</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合同期内，如厂家有改良性软硬件，成交供应商为医院升级的费用应已包含在本次报价中。</w:t>
            </w:r>
          </w:p>
          <w:p w14:paraId="1ED3B5ED">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13</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在合同期内因故障而需更换的备件，不受数量限制。</w:t>
            </w:r>
          </w:p>
          <w:p w14:paraId="08A540E7">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14.</w:t>
            </w:r>
            <w:r>
              <w:rPr>
                <w:rFonts w:hint="eastAsia" w:ascii="宋体" w:hAnsi="宋体" w:eastAsia="宋体" w:cs="宋体"/>
                <w:i w:val="0"/>
                <w:iCs w:val="0"/>
                <w:color w:val="000000"/>
                <w:kern w:val="0"/>
                <w:sz w:val="21"/>
                <w:szCs w:val="21"/>
                <w:u w:val="none"/>
                <w:lang w:val="en-US" w:eastAsia="zh-CN" w:bidi="ar"/>
              </w:rPr>
              <w:t>设备维保期内，中标商严格按照说明书要求对产品进行维修、维护和保养等，若设备已达到“预期使用有效期”，中标商每年负责组织设备“注册人”对该设备进行评估1次，并出具“注册人”认可的设备临床使用安全有效，可继续使用的相关证明。相关费用包含在报价中</w:t>
            </w:r>
            <w:r>
              <w:rPr>
                <w:rFonts w:hint="eastAsia" w:ascii="宋体" w:hAnsi="宋体" w:cs="宋体"/>
                <w:color w:val="000000"/>
                <w:szCs w:val="21"/>
                <w:highlight w:val="none"/>
                <w:lang w:val="en-US" w:eastAsia="zh-CN"/>
              </w:rPr>
              <w:t>。</w:t>
            </w:r>
          </w:p>
          <w:p w14:paraId="2910426B">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五、定期维护保养要求</w:t>
            </w:r>
          </w:p>
          <w:p w14:paraId="16124001">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lang w:val="en-US" w:eastAsia="zh-CN"/>
              </w:rPr>
              <w:t>定期维护保养周期</w:t>
            </w:r>
            <w:r>
              <w:rPr>
                <w:rFonts w:hint="eastAsia" w:ascii="宋体" w:hAnsi="宋体" w:eastAsia="宋体" w:cs="宋体"/>
                <w:color w:val="000000"/>
                <w:szCs w:val="21"/>
                <w:lang w:val="en-US" w:eastAsia="zh-CN"/>
              </w:rPr>
              <w:t>：供应商</w:t>
            </w:r>
            <w:r>
              <w:rPr>
                <w:rFonts w:hint="eastAsia" w:ascii="宋体" w:hAnsi="宋体" w:eastAsia="宋体" w:cs="宋体"/>
                <w:color w:val="auto"/>
                <w:szCs w:val="21"/>
                <w:u w:val="none"/>
                <w:lang w:val="en-US" w:eastAsia="zh-CN"/>
              </w:rPr>
              <w:t>须</w:t>
            </w:r>
            <w:r>
              <w:rPr>
                <w:rFonts w:hint="eastAsia" w:ascii="宋体" w:hAnsi="宋体" w:eastAsia="宋体" w:cs="宋体"/>
                <w:color w:val="000000"/>
                <w:szCs w:val="21"/>
                <w:lang w:val="en-US" w:eastAsia="zh-CN"/>
              </w:rPr>
              <w:t>制定详细的维保计划，并在每次维护保养时间前一周通知采购人，协调确定具体保养时间。维护保养应在不影响采购人正常工作的时间内进行。</w:t>
            </w:r>
          </w:p>
          <w:p w14:paraId="23364C91">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定期的维护保养服务内</w:t>
            </w:r>
            <w:r>
              <w:rPr>
                <w:rFonts w:hint="eastAsia" w:ascii="宋体" w:hAnsi="宋体" w:eastAsia="宋体" w:cs="宋体"/>
                <w:color w:val="000000"/>
                <w:szCs w:val="21"/>
                <w:highlight w:val="none"/>
                <w:lang w:val="en-US" w:eastAsia="zh-CN"/>
              </w:rPr>
              <w:t>容至少包括</w:t>
            </w:r>
            <w:r>
              <w:rPr>
                <w:rFonts w:hint="eastAsia" w:ascii="宋体" w:hAnsi="宋体" w:eastAsia="宋体" w:cs="宋体"/>
                <w:color w:val="000000"/>
                <w:szCs w:val="21"/>
                <w:lang w:val="en-US" w:eastAsia="zh-CN"/>
              </w:rPr>
              <w:t>：设备的安全检查、影像质量检查、设备除尘保养、运行状态检查等。</w:t>
            </w:r>
          </w:p>
          <w:p w14:paraId="4F2F04C3">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每次维护保养完成后，成交供应商向采购人提供维护保养报告书。</w:t>
            </w:r>
          </w:p>
        </w:tc>
      </w:tr>
    </w:tbl>
    <w:p w14:paraId="5F7CEAC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C0E05FF">
      <w:pPr>
        <w:spacing w:after="1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176902E3">
      <w:pPr>
        <w:spacing w:after="120"/>
        <w:jc w:val="center"/>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消化</w:t>
      </w:r>
      <w:r>
        <w:rPr>
          <w:rFonts w:ascii="Times New Roman" w:hAnsi="Times New Roman" w:eastAsia="宋体" w:cs="Times New Roman"/>
          <w:b/>
          <w:bCs/>
          <w:sz w:val="28"/>
          <w:szCs w:val="28"/>
        </w:rPr>
        <w:t>内科</w:t>
      </w:r>
      <w:r>
        <w:rPr>
          <w:rFonts w:hint="eastAsia" w:ascii="Times New Roman" w:hAnsi="Times New Roman" w:eastAsia="宋体" w:cs="Times New Roman"/>
          <w:b/>
          <w:bCs/>
          <w:sz w:val="28"/>
          <w:szCs w:val="28"/>
          <w:lang w:eastAsia="zh-CN"/>
        </w:rPr>
        <w:t>奥林巴斯内镜</w:t>
      </w:r>
      <w:r>
        <w:rPr>
          <w:rFonts w:hint="eastAsia" w:ascii="Times New Roman" w:hAnsi="Times New Roman" w:eastAsia="宋体" w:cs="Times New Roman"/>
          <w:b/>
          <w:bCs/>
          <w:sz w:val="28"/>
          <w:szCs w:val="28"/>
          <w:lang w:val="en-US" w:eastAsia="zh-CN"/>
        </w:rPr>
        <w:t>维保设备</w:t>
      </w:r>
      <w:r>
        <w:rPr>
          <w:rFonts w:hint="eastAsia" w:cs="Times New Roman"/>
          <w:b/>
          <w:bCs/>
          <w:sz w:val="28"/>
          <w:szCs w:val="28"/>
          <w:lang w:val="en-US" w:eastAsia="zh-CN"/>
        </w:rPr>
        <w:t>明细</w:t>
      </w:r>
    </w:p>
    <w:tbl>
      <w:tblPr>
        <w:tblStyle w:val="7"/>
        <w:tblpPr w:leftFromText="180" w:rightFromText="180" w:vertAnchor="text" w:horzAnchor="page" w:tblpX="1851" w:tblpY="46"/>
        <w:tblOverlap w:val="never"/>
        <w:tblW w:w="8422" w:type="dxa"/>
        <w:tblInd w:w="0" w:type="dxa"/>
        <w:tblLayout w:type="fixed"/>
        <w:tblCellMar>
          <w:top w:w="0" w:type="dxa"/>
          <w:left w:w="108" w:type="dxa"/>
          <w:bottom w:w="0" w:type="dxa"/>
          <w:right w:w="108" w:type="dxa"/>
        </w:tblCellMar>
      </w:tblPr>
      <w:tblGrid>
        <w:gridCol w:w="822"/>
        <w:gridCol w:w="1640"/>
        <w:gridCol w:w="2060"/>
        <w:gridCol w:w="1570"/>
        <w:gridCol w:w="1120"/>
        <w:gridCol w:w="1210"/>
      </w:tblGrid>
      <w:tr w14:paraId="03680BD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F922737">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40" w:type="dxa"/>
            <w:tcBorders>
              <w:top w:val="single" w:color="auto" w:sz="4" w:space="0"/>
              <w:left w:val="single" w:color="auto" w:sz="4" w:space="0"/>
              <w:bottom w:val="single" w:color="auto" w:sz="4" w:space="0"/>
              <w:right w:val="single" w:color="auto" w:sz="4" w:space="0"/>
            </w:tcBorders>
            <w:noWrap/>
            <w:vAlign w:val="center"/>
          </w:tcPr>
          <w:p w14:paraId="0DD31C76">
            <w:pPr>
              <w:jc w:val="center"/>
              <w:rPr>
                <w:rFonts w:hint="eastAsia" w:ascii="宋体" w:hAnsi="宋体" w:eastAsia="宋体" w:cs="宋体"/>
                <w:b/>
                <w:bCs/>
                <w:sz w:val="21"/>
                <w:szCs w:val="21"/>
              </w:rPr>
            </w:pPr>
            <w:r>
              <w:rPr>
                <w:rFonts w:hint="eastAsia" w:ascii="宋体" w:hAnsi="宋体" w:eastAsia="宋体" w:cs="宋体"/>
                <w:b/>
                <w:bCs/>
                <w:sz w:val="21"/>
                <w:szCs w:val="21"/>
              </w:rPr>
              <w:t>型号</w:t>
            </w:r>
          </w:p>
        </w:tc>
        <w:tc>
          <w:tcPr>
            <w:tcW w:w="2060" w:type="dxa"/>
            <w:tcBorders>
              <w:top w:val="single" w:color="auto" w:sz="4" w:space="0"/>
              <w:left w:val="single" w:color="auto" w:sz="4" w:space="0"/>
              <w:bottom w:val="single" w:color="auto" w:sz="4" w:space="0"/>
              <w:right w:val="single" w:color="auto" w:sz="4" w:space="0"/>
            </w:tcBorders>
            <w:noWrap/>
            <w:vAlign w:val="center"/>
          </w:tcPr>
          <w:p w14:paraId="01899189">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570" w:type="dxa"/>
            <w:tcBorders>
              <w:top w:val="single" w:color="auto" w:sz="4" w:space="0"/>
              <w:left w:val="single" w:color="auto" w:sz="4" w:space="0"/>
              <w:bottom w:val="single" w:color="auto" w:sz="4" w:space="0"/>
              <w:right w:val="single" w:color="auto" w:sz="4" w:space="0"/>
            </w:tcBorders>
            <w:noWrap/>
            <w:vAlign w:val="center"/>
          </w:tcPr>
          <w:p w14:paraId="49970064">
            <w:pPr>
              <w:jc w:val="center"/>
              <w:rPr>
                <w:rFonts w:hint="eastAsia" w:ascii="宋体" w:hAnsi="宋体" w:eastAsia="宋体" w:cs="宋体"/>
                <w:b/>
                <w:bCs/>
                <w:sz w:val="21"/>
                <w:szCs w:val="21"/>
              </w:rPr>
            </w:pPr>
            <w:r>
              <w:rPr>
                <w:rFonts w:hint="eastAsia" w:ascii="宋体" w:hAnsi="宋体" w:eastAsia="宋体" w:cs="宋体"/>
                <w:b/>
                <w:bCs/>
                <w:sz w:val="21"/>
                <w:szCs w:val="21"/>
              </w:rPr>
              <w:t>机身号</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91583">
            <w:pPr>
              <w:widowControl/>
              <w:spacing w:line="360" w:lineRule="auto"/>
              <w:jc w:val="center"/>
              <w:rPr>
                <w:rFonts w:hint="eastAsia" w:ascii="宋体" w:hAnsi="宋体" w:eastAsia="宋体" w:cs="Times New Roman"/>
                <w:b/>
                <w:bCs/>
                <w:kern w:val="2"/>
                <w:sz w:val="21"/>
                <w:szCs w:val="24"/>
                <w:vertAlign w:val="baseline"/>
                <w:lang w:val="en-US" w:eastAsia="zh-CN" w:bidi="ar-SA"/>
              </w:rPr>
            </w:pPr>
            <w:r>
              <w:rPr>
                <w:rFonts w:hint="eastAsia" w:ascii="宋体" w:hAnsi="宋体" w:eastAsia="宋体" w:cs="宋体"/>
                <w:b/>
                <w:bCs/>
                <w:sz w:val="20"/>
                <w:szCs w:val="18"/>
                <w:lang w:val="en-US" w:eastAsia="zh-CN"/>
              </w:rPr>
              <w:t>数量</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49352">
            <w:pPr>
              <w:pStyle w:val="12"/>
              <w:numPr>
                <w:ilvl w:val="0"/>
                <w:numId w:val="0"/>
              </w:numPr>
              <w:adjustRightInd/>
              <w:spacing w:line="360" w:lineRule="auto"/>
              <w:ind w:left="0" w:leftChars="0" w:firstLine="0" w:firstLineChars="0"/>
              <w:jc w:val="center"/>
              <w:rPr>
                <w:rFonts w:hint="eastAsia" w:ascii="宋体" w:hAnsi="宋体" w:eastAsia="宋体" w:cs="Times New Roman"/>
                <w:kern w:val="0"/>
                <w:sz w:val="21"/>
                <w:szCs w:val="20"/>
                <w:vertAlign w:val="baseline"/>
                <w:lang w:val="en-US" w:eastAsia="zh-CN" w:bidi="ar-SA"/>
              </w:rPr>
            </w:pPr>
            <w:r>
              <w:rPr>
                <w:rFonts w:hint="eastAsia" w:ascii="宋体" w:hAnsi="宋体" w:eastAsia="宋体"/>
                <w:b/>
                <w:bCs/>
                <w:vertAlign w:val="baseline"/>
                <w:lang w:val="en-US" w:eastAsia="zh-CN"/>
              </w:rPr>
              <w:t>维保要求</w:t>
            </w:r>
          </w:p>
        </w:tc>
      </w:tr>
      <w:tr w14:paraId="495301BA">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9FCA2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40" w:type="dxa"/>
            <w:tcBorders>
              <w:top w:val="single" w:color="auto" w:sz="4" w:space="0"/>
              <w:left w:val="single" w:color="auto" w:sz="4" w:space="0"/>
              <w:bottom w:val="single" w:color="auto" w:sz="4" w:space="0"/>
              <w:right w:val="single" w:color="auto" w:sz="4" w:space="0"/>
            </w:tcBorders>
            <w:noWrap/>
            <w:vAlign w:val="center"/>
          </w:tcPr>
          <w:p w14:paraId="4B98F27B">
            <w:pPr>
              <w:jc w:val="center"/>
              <w:rPr>
                <w:rFonts w:hint="eastAsia" w:ascii="宋体" w:hAnsi="宋体" w:eastAsia="宋体" w:cs="宋体"/>
                <w:sz w:val="21"/>
                <w:szCs w:val="21"/>
              </w:rPr>
            </w:pPr>
            <w:r>
              <w:rPr>
                <w:rFonts w:hint="eastAsia" w:ascii="宋体" w:hAnsi="宋体" w:eastAsia="宋体" w:cs="宋体"/>
                <w:sz w:val="21"/>
                <w:szCs w:val="21"/>
              </w:rPr>
              <w:t>GIF-H290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7BFE2526">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6C04E7C">
            <w:pPr>
              <w:jc w:val="center"/>
              <w:rPr>
                <w:rFonts w:hint="eastAsia" w:ascii="宋体" w:hAnsi="宋体" w:eastAsia="宋体" w:cs="宋体"/>
                <w:sz w:val="21"/>
                <w:szCs w:val="21"/>
              </w:rPr>
            </w:pPr>
            <w:r>
              <w:rPr>
                <w:rFonts w:hint="eastAsia" w:ascii="宋体" w:hAnsi="宋体" w:eastAsia="宋体" w:cs="宋体"/>
                <w:sz w:val="21"/>
                <w:szCs w:val="21"/>
              </w:rPr>
              <w:t>2848923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44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7B8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9AD851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0FA5D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640" w:type="dxa"/>
            <w:tcBorders>
              <w:top w:val="single" w:color="auto" w:sz="4" w:space="0"/>
              <w:left w:val="single" w:color="auto" w:sz="4" w:space="0"/>
              <w:bottom w:val="single" w:color="auto" w:sz="4" w:space="0"/>
              <w:right w:val="single" w:color="auto" w:sz="4" w:space="0"/>
            </w:tcBorders>
            <w:noWrap/>
            <w:vAlign w:val="center"/>
          </w:tcPr>
          <w:p w14:paraId="67535B75">
            <w:pPr>
              <w:jc w:val="center"/>
              <w:rPr>
                <w:rFonts w:hint="eastAsia" w:ascii="宋体" w:hAnsi="宋体" w:eastAsia="宋体" w:cs="宋体"/>
                <w:sz w:val="21"/>
                <w:szCs w:val="21"/>
              </w:rPr>
            </w:pPr>
            <w:r>
              <w:rPr>
                <w:rFonts w:hint="eastAsia" w:ascii="宋体" w:hAnsi="宋体" w:eastAsia="宋体" w:cs="宋体"/>
                <w:sz w:val="21"/>
                <w:szCs w:val="21"/>
              </w:rPr>
              <w:t>GIF-HQ290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621AA9C6">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BF19B26">
            <w:pPr>
              <w:jc w:val="center"/>
              <w:rPr>
                <w:rFonts w:hint="eastAsia" w:ascii="宋体" w:hAnsi="宋体" w:eastAsia="宋体" w:cs="宋体"/>
                <w:sz w:val="21"/>
                <w:szCs w:val="21"/>
              </w:rPr>
            </w:pPr>
            <w:r>
              <w:rPr>
                <w:rFonts w:hint="eastAsia" w:ascii="宋体" w:hAnsi="宋体" w:eastAsia="宋体" w:cs="宋体"/>
                <w:sz w:val="21"/>
                <w:szCs w:val="21"/>
              </w:rPr>
              <w:t>2857836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28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39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70D66BB">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DEDEA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40" w:type="dxa"/>
            <w:tcBorders>
              <w:top w:val="single" w:color="auto" w:sz="4" w:space="0"/>
              <w:left w:val="single" w:color="auto" w:sz="4" w:space="0"/>
              <w:bottom w:val="single" w:color="auto" w:sz="4" w:space="0"/>
              <w:right w:val="single" w:color="auto" w:sz="4" w:space="0"/>
            </w:tcBorders>
            <w:noWrap/>
            <w:vAlign w:val="center"/>
          </w:tcPr>
          <w:p w14:paraId="5F13C6D5">
            <w:pPr>
              <w:jc w:val="center"/>
              <w:rPr>
                <w:rFonts w:hint="eastAsia" w:ascii="宋体" w:hAnsi="宋体" w:eastAsia="宋体" w:cs="宋体"/>
                <w:sz w:val="21"/>
                <w:szCs w:val="21"/>
              </w:rPr>
            </w:pPr>
            <w:r>
              <w:rPr>
                <w:rFonts w:hint="eastAsia" w:ascii="宋体" w:hAnsi="宋体" w:eastAsia="宋体" w:cs="宋体"/>
                <w:sz w:val="21"/>
                <w:szCs w:val="21"/>
              </w:rPr>
              <w:t>GIF-H260Z</w:t>
            </w:r>
          </w:p>
        </w:tc>
        <w:tc>
          <w:tcPr>
            <w:tcW w:w="2060" w:type="dxa"/>
            <w:tcBorders>
              <w:top w:val="single" w:color="auto" w:sz="4" w:space="0"/>
              <w:left w:val="single" w:color="auto" w:sz="4" w:space="0"/>
              <w:bottom w:val="single" w:color="auto" w:sz="4" w:space="0"/>
              <w:right w:val="single" w:color="auto" w:sz="4" w:space="0"/>
            </w:tcBorders>
            <w:noWrap/>
            <w:vAlign w:val="center"/>
          </w:tcPr>
          <w:p w14:paraId="734B2420">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2AFE680">
            <w:pPr>
              <w:jc w:val="center"/>
              <w:rPr>
                <w:rFonts w:hint="eastAsia" w:ascii="宋体" w:hAnsi="宋体" w:eastAsia="宋体" w:cs="宋体"/>
                <w:sz w:val="21"/>
                <w:szCs w:val="21"/>
              </w:rPr>
            </w:pPr>
            <w:r>
              <w:rPr>
                <w:rFonts w:hint="eastAsia" w:ascii="宋体" w:hAnsi="宋体" w:eastAsia="宋体" w:cs="宋体"/>
                <w:sz w:val="21"/>
                <w:szCs w:val="21"/>
              </w:rPr>
              <w:t>2424171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F56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E78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90E980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0A04B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40" w:type="dxa"/>
            <w:tcBorders>
              <w:top w:val="single" w:color="auto" w:sz="4" w:space="0"/>
              <w:left w:val="single" w:color="auto" w:sz="4" w:space="0"/>
              <w:bottom w:val="single" w:color="auto" w:sz="4" w:space="0"/>
              <w:right w:val="single" w:color="auto" w:sz="4" w:space="0"/>
            </w:tcBorders>
            <w:noWrap/>
            <w:vAlign w:val="center"/>
          </w:tcPr>
          <w:p w14:paraId="39630DA7">
            <w:pPr>
              <w:jc w:val="center"/>
              <w:rPr>
                <w:rFonts w:hint="eastAsia" w:ascii="宋体" w:hAnsi="宋体" w:eastAsia="宋体" w:cs="宋体"/>
                <w:sz w:val="21"/>
                <w:szCs w:val="21"/>
              </w:rPr>
            </w:pPr>
            <w:r>
              <w:rPr>
                <w:rFonts w:hint="eastAsia" w:ascii="宋体" w:hAnsi="宋体" w:eastAsia="宋体" w:cs="宋体"/>
                <w:sz w:val="21"/>
                <w:szCs w:val="21"/>
              </w:rPr>
              <w:t>GIF-Q260J</w:t>
            </w:r>
          </w:p>
        </w:tc>
        <w:tc>
          <w:tcPr>
            <w:tcW w:w="2060" w:type="dxa"/>
            <w:tcBorders>
              <w:top w:val="single" w:color="auto" w:sz="4" w:space="0"/>
              <w:left w:val="single" w:color="auto" w:sz="4" w:space="0"/>
              <w:bottom w:val="single" w:color="auto" w:sz="4" w:space="0"/>
              <w:right w:val="single" w:color="auto" w:sz="4" w:space="0"/>
            </w:tcBorders>
            <w:noWrap/>
            <w:vAlign w:val="center"/>
          </w:tcPr>
          <w:p w14:paraId="22BA3701">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20982EE">
            <w:pPr>
              <w:jc w:val="center"/>
              <w:rPr>
                <w:rFonts w:hint="eastAsia" w:ascii="宋体" w:hAnsi="宋体" w:eastAsia="宋体" w:cs="宋体"/>
                <w:sz w:val="21"/>
                <w:szCs w:val="21"/>
              </w:rPr>
            </w:pPr>
            <w:r>
              <w:rPr>
                <w:rFonts w:hint="eastAsia" w:ascii="宋体" w:hAnsi="宋体" w:eastAsia="宋体" w:cs="宋体"/>
                <w:sz w:val="21"/>
                <w:szCs w:val="21"/>
              </w:rPr>
              <w:t>2403921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3A5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C9E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1CCFAD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C0F4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640" w:type="dxa"/>
            <w:tcBorders>
              <w:top w:val="single" w:color="auto" w:sz="4" w:space="0"/>
              <w:left w:val="single" w:color="auto" w:sz="4" w:space="0"/>
              <w:bottom w:val="single" w:color="auto" w:sz="4" w:space="0"/>
              <w:right w:val="single" w:color="auto" w:sz="4" w:space="0"/>
            </w:tcBorders>
            <w:noWrap/>
            <w:vAlign w:val="center"/>
          </w:tcPr>
          <w:p w14:paraId="1FDA4865">
            <w:pPr>
              <w:jc w:val="center"/>
              <w:rPr>
                <w:rFonts w:hint="eastAsia" w:ascii="宋体" w:hAnsi="宋体" w:eastAsia="宋体" w:cs="宋体"/>
                <w:sz w:val="21"/>
                <w:szCs w:val="21"/>
              </w:rPr>
            </w:pPr>
            <w:r>
              <w:rPr>
                <w:rFonts w:hint="eastAsia" w:ascii="宋体" w:hAnsi="宋体" w:eastAsia="宋体" w:cs="宋体"/>
                <w:sz w:val="21"/>
                <w:szCs w:val="21"/>
              </w:rPr>
              <w:t>GIF-Q260J</w:t>
            </w:r>
          </w:p>
        </w:tc>
        <w:tc>
          <w:tcPr>
            <w:tcW w:w="2060" w:type="dxa"/>
            <w:tcBorders>
              <w:top w:val="single" w:color="auto" w:sz="4" w:space="0"/>
              <w:left w:val="single" w:color="auto" w:sz="4" w:space="0"/>
              <w:bottom w:val="single" w:color="auto" w:sz="4" w:space="0"/>
              <w:right w:val="single" w:color="auto" w:sz="4" w:space="0"/>
            </w:tcBorders>
            <w:noWrap/>
            <w:vAlign w:val="center"/>
          </w:tcPr>
          <w:p w14:paraId="2B2D9D19">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E638C23">
            <w:pPr>
              <w:jc w:val="center"/>
              <w:rPr>
                <w:rFonts w:hint="eastAsia" w:ascii="宋体" w:hAnsi="宋体" w:eastAsia="宋体" w:cs="宋体"/>
                <w:sz w:val="21"/>
                <w:szCs w:val="21"/>
              </w:rPr>
            </w:pPr>
            <w:r>
              <w:rPr>
                <w:rFonts w:hint="eastAsia" w:ascii="宋体" w:hAnsi="宋体" w:eastAsia="宋体" w:cs="宋体"/>
                <w:sz w:val="21"/>
                <w:szCs w:val="21"/>
              </w:rPr>
              <w:t>2403919</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E7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F5E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D32E72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CCF11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640" w:type="dxa"/>
            <w:tcBorders>
              <w:top w:val="single" w:color="auto" w:sz="4" w:space="0"/>
              <w:left w:val="single" w:color="auto" w:sz="4" w:space="0"/>
              <w:bottom w:val="single" w:color="auto" w:sz="4" w:space="0"/>
              <w:right w:val="single" w:color="auto" w:sz="4" w:space="0"/>
            </w:tcBorders>
            <w:noWrap/>
            <w:vAlign w:val="center"/>
          </w:tcPr>
          <w:p w14:paraId="14DF1BFA">
            <w:pPr>
              <w:jc w:val="center"/>
              <w:rPr>
                <w:rFonts w:hint="eastAsia" w:ascii="宋体" w:hAnsi="宋体" w:eastAsia="宋体" w:cs="宋体"/>
                <w:sz w:val="21"/>
                <w:szCs w:val="21"/>
              </w:rPr>
            </w:pPr>
            <w:r>
              <w:rPr>
                <w:rFonts w:hint="eastAsia" w:ascii="宋体" w:hAnsi="宋体" w:eastAsia="宋体" w:cs="宋体"/>
                <w:sz w:val="21"/>
                <w:szCs w:val="21"/>
              </w:rPr>
              <w:t>GIF-H260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6D10A743">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613720B">
            <w:pPr>
              <w:jc w:val="center"/>
              <w:rPr>
                <w:rFonts w:hint="eastAsia" w:ascii="宋体" w:hAnsi="宋体" w:eastAsia="宋体" w:cs="宋体"/>
                <w:sz w:val="21"/>
                <w:szCs w:val="21"/>
              </w:rPr>
            </w:pPr>
            <w:r>
              <w:rPr>
                <w:rFonts w:hint="eastAsia" w:ascii="宋体" w:hAnsi="宋体" w:eastAsia="宋体" w:cs="宋体"/>
                <w:sz w:val="21"/>
                <w:szCs w:val="21"/>
              </w:rPr>
              <w:t>2446485</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5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1A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9C4FB2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F895E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640" w:type="dxa"/>
            <w:tcBorders>
              <w:top w:val="single" w:color="auto" w:sz="4" w:space="0"/>
              <w:left w:val="single" w:color="auto" w:sz="4" w:space="0"/>
              <w:bottom w:val="single" w:color="auto" w:sz="4" w:space="0"/>
              <w:right w:val="single" w:color="auto" w:sz="4" w:space="0"/>
            </w:tcBorders>
            <w:noWrap/>
            <w:vAlign w:val="center"/>
          </w:tcPr>
          <w:p w14:paraId="6E2E2548">
            <w:pPr>
              <w:jc w:val="center"/>
              <w:rPr>
                <w:rFonts w:hint="eastAsia" w:ascii="宋体" w:hAnsi="宋体" w:eastAsia="宋体" w:cs="宋体"/>
                <w:sz w:val="21"/>
                <w:szCs w:val="21"/>
              </w:rPr>
            </w:pPr>
            <w:r>
              <w:rPr>
                <w:rFonts w:hint="eastAsia" w:ascii="宋体" w:hAnsi="宋体" w:eastAsia="宋体" w:cs="宋体"/>
                <w:sz w:val="21"/>
                <w:szCs w:val="21"/>
              </w:rPr>
              <w:t>GIF-H260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66034DC7">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6606CCE">
            <w:pPr>
              <w:jc w:val="center"/>
              <w:rPr>
                <w:rFonts w:hint="eastAsia" w:ascii="宋体" w:hAnsi="宋体" w:eastAsia="宋体" w:cs="宋体"/>
                <w:sz w:val="21"/>
                <w:szCs w:val="21"/>
              </w:rPr>
            </w:pPr>
            <w:r>
              <w:rPr>
                <w:rFonts w:hint="eastAsia" w:ascii="宋体" w:hAnsi="宋体" w:eastAsia="宋体" w:cs="宋体"/>
                <w:sz w:val="21"/>
                <w:szCs w:val="21"/>
              </w:rPr>
              <w:t>2446501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39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AEF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051A7A6">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00939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640" w:type="dxa"/>
            <w:tcBorders>
              <w:top w:val="single" w:color="auto" w:sz="4" w:space="0"/>
              <w:left w:val="single" w:color="auto" w:sz="4" w:space="0"/>
              <w:bottom w:val="single" w:color="auto" w:sz="4" w:space="0"/>
              <w:right w:val="single" w:color="auto" w:sz="4" w:space="0"/>
            </w:tcBorders>
            <w:noWrap/>
            <w:vAlign w:val="center"/>
          </w:tcPr>
          <w:p w14:paraId="728BFD98">
            <w:pPr>
              <w:jc w:val="center"/>
              <w:rPr>
                <w:rFonts w:hint="eastAsia" w:ascii="宋体" w:hAnsi="宋体" w:eastAsia="宋体" w:cs="宋体"/>
                <w:sz w:val="21"/>
                <w:szCs w:val="21"/>
              </w:rPr>
            </w:pPr>
            <w:r>
              <w:rPr>
                <w:rFonts w:hint="eastAsia" w:ascii="宋体" w:hAnsi="宋体" w:eastAsia="宋体" w:cs="宋体"/>
                <w:sz w:val="21"/>
                <w:szCs w:val="21"/>
              </w:rPr>
              <w:t>TJF-260V</w:t>
            </w:r>
          </w:p>
        </w:tc>
        <w:tc>
          <w:tcPr>
            <w:tcW w:w="2060" w:type="dxa"/>
            <w:tcBorders>
              <w:top w:val="single" w:color="auto" w:sz="4" w:space="0"/>
              <w:left w:val="single" w:color="auto" w:sz="4" w:space="0"/>
              <w:bottom w:val="single" w:color="auto" w:sz="4" w:space="0"/>
              <w:right w:val="single" w:color="auto" w:sz="4" w:space="0"/>
            </w:tcBorders>
            <w:noWrap/>
            <w:vAlign w:val="center"/>
          </w:tcPr>
          <w:p w14:paraId="4740D9E0">
            <w:pPr>
              <w:jc w:val="center"/>
              <w:rPr>
                <w:rFonts w:hint="eastAsia" w:ascii="宋体" w:hAnsi="宋体" w:eastAsia="宋体" w:cs="宋体"/>
                <w:sz w:val="21"/>
                <w:szCs w:val="21"/>
              </w:rPr>
            </w:pPr>
            <w:r>
              <w:rPr>
                <w:rFonts w:hint="eastAsia" w:ascii="宋体" w:hAnsi="宋体" w:eastAsia="宋体" w:cs="宋体"/>
                <w:sz w:val="21"/>
                <w:szCs w:val="21"/>
              </w:rPr>
              <w:t>电子十二指肠镜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9A95C42">
            <w:pPr>
              <w:jc w:val="center"/>
              <w:rPr>
                <w:rFonts w:hint="eastAsia" w:ascii="宋体" w:hAnsi="宋体" w:eastAsia="宋体" w:cs="宋体"/>
                <w:sz w:val="21"/>
                <w:szCs w:val="21"/>
              </w:rPr>
            </w:pPr>
            <w:r>
              <w:rPr>
                <w:rFonts w:hint="eastAsia" w:ascii="宋体" w:hAnsi="宋体" w:eastAsia="宋体" w:cs="宋体"/>
                <w:sz w:val="21"/>
                <w:szCs w:val="21"/>
              </w:rPr>
              <w:t>2402603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375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6D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FA81C6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65FEA7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640" w:type="dxa"/>
            <w:tcBorders>
              <w:top w:val="single" w:color="auto" w:sz="4" w:space="0"/>
              <w:left w:val="single" w:color="auto" w:sz="4" w:space="0"/>
              <w:bottom w:val="single" w:color="auto" w:sz="4" w:space="0"/>
              <w:right w:val="single" w:color="auto" w:sz="4" w:space="0"/>
            </w:tcBorders>
            <w:noWrap/>
            <w:vAlign w:val="center"/>
          </w:tcPr>
          <w:p w14:paraId="3D373A2C">
            <w:pPr>
              <w:jc w:val="center"/>
              <w:rPr>
                <w:rFonts w:hint="eastAsia" w:ascii="宋体" w:hAnsi="宋体" w:eastAsia="宋体" w:cs="宋体"/>
                <w:sz w:val="21"/>
                <w:szCs w:val="21"/>
              </w:rPr>
            </w:pPr>
            <w:r>
              <w:rPr>
                <w:rFonts w:hint="eastAsia" w:ascii="宋体" w:hAnsi="宋体" w:eastAsia="宋体" w:cs="宋体"/>
                <w:sz w:val="21"/>
                <w:szCs w:val="21"/>
              </w:rPr>
              <w:t>GF-UCT260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36F10AC9">
            <w:pPr>
              <w:jc w:val="center"/>
              <w:rPr>
                <w:rFonts w:hint="eastAsia" w:ascii="宋体" w:hAnsi="宋体" w:eastAsia="宋体" w:cs="宋体"/>
                <w:sz w:val="21"/>
                <w:szCs w:val="21"/>
              </w:rPr>
            </w:pPr>
            <w:r>
              <w:rPr>
                <w:rFonts w:hint="eastAsia" w:ascii="宋体" w:hAnsi="宋体" w:eastAsia="宋体" w:cs="宋体"/>
                <w:sz w:val="21"/>
                <w:szCs w:val="21"/>
              </w:rPr>
              <w:t>超声电子上消化道内窥镜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0C256B1">
            <w:pPr>
              <w:jc w:val="center"/>
              <w:rPr>
                <w:rFonts w:hint="eastAsia" w:ascii="宋体" w:hAnsi="宋体" w:eastAsia="宋体" w:cs="宋体"/>
                <w:sz w:val="21"/>
                <w:szCs w:val="21"/>
              </w:rPr>
            </w:pPr>
            <w:r>
              <w:rPr>
                <w:rFonts w:hint="eastAsia" w:ascii="宋体" w:hAnsi="宋体" w:eastAsia="宋体" w:cs="宋体"/>
                <w:sz w:val="21"/>
                <w:szCs w:val="21"/>
              </w:rPr>
              <w:t>7820724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935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F9B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9F10EAD">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A91889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640" w:type="dxa"/>
            <w:tcBorders>
              <w:top w:val="single" w:color="auto" w:sz="4" w:space="0"/>
              <w:left w:val="single" w:color="auto" w:sz="4" w:space="0"/>
              <w:bottom w:val="single" w:color="auto" w:sz="4" w:space="0"/>
              <w:right w:val="single" w:color="auto" w:sz="4" w:space="0"/>
            </w:tcBorders>
            <w:noWrap/>
            <w:vAlign w:val="center"/>
          </w:tcPr>
          <w:p w14:paraId="1F4C7E43">
            <w:pPr>
              <w:jc w:val="center"/>
              <w:rPr>
                <w:rFonts w:hint="eastAsia" w:ascii="宋体" w:hAnsi="宋体" w:eastAsia="宋体" w:cs="宋体"/>
                <w:sz w:val="21"/>
                <w:szCs w:val="21"/>
              </w:rPr>
            </w:pPr>
            <w:r>
              <w:rPr>
                <w:rFonts w:hint="eastAsia" w:ascii="宋体" w:hAnsi="宋体" w:eastAsia="宋体" w:cs="宋体"/>
                <w:sz w:val="21"/>
                <w:szCs w:val="21"/>
              </w:rPr>
              <w:t>CF-H290I</w:t>
            </w:r>
          </w:p>
        </w:tc>
        <w:tc>
          <w:tcPr>
            <w:tcW w:w="2060" w:type="dxa"/>
            <w:tcBorders>
              <w:top w:val="single" w:color="auto" w:sz="4" w:space="0"/>
              <w:left w:val="single" w:color="auto" w:sz="4" w:space="0"/>
              <w:bottom w:val="single" w:color="auto" w:sz="4" w:space="0"/>
              <w:right w:val="single" w:color="auto" w:sz="4" w:space="0"/>
            </w:tcBorders>
            <w:noWrap/>
            <w:vAlign w:val="center"/>
          </w:tcPr>
          <w:p w14:paraId="783F8E90">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694E137">
            <w:pPr>
              <w:jc w:val="center"/>
              <w:rPr>
                <w:rFonts w:hint="eastAsia" w:ascii="宋体" w:hAnsi="宋体" w:eastAsia="宋体" w:cs="宋体"/>
                <w:sz w:val="21"/>
                <w:szCs w:val="21"/>
              </w:rPr>
            </w:pPr>
            <w:r>
              <w:rPr>
                <w:rFonts w:hint="eastAsia" w:ascii="宋体" w:hAnsi="宋体" w:eastAsia="宋体" w:cs="宋体"/>
                <w:sz w:val="21"/>
                <w:szCs w:val="21"/>
              </w:rPr>
              <w:t>2843190</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D6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82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3B4645F">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6B5C9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640" w:type="dxa"/>
            <w:tcBorders>
              <w:top w:val="single" w:color="auto" w:sz="4" w:space="0"/>
              <w:left w:val="single" w:color="auto" w:sz="4" w:space="0"/>
              <w:bottom w:val="single" w:color="auto" w:sz="4" w:space="0"/>
              <w:right w:val="single" w:color="auto" w:sz="4" w:space="0"/>
            </w:tcBorders>
            <w:noWrap/>
            <w:vAlign w:val="center"/>
          </w:tcPr>
          <w:p w14:paraId="3A0F2980">
            <w:pPr>
              <w:jc w:val="center"/>
              <w:rPr>
                <w:rFonts w:hint="eastAsia" w:ascii="宋体" w:hAnsi="宋体" w:eastAsia="宋体" w:cs="宋体"/>
                <w:sz w:val="21"/>
                <w:szCs w:val="21"/>
              </w:rPr>
            </w:pPr>
            <w:r>
              <w:rPr>
                <w:rFonts w:hint="eastAsia" w:ascii="宋体" w:hAnsi="宋体" w:eastAsia="宋体" w:cs="宋体"/>
                <w:sz w:val="21"/>
                <w:szCs w:val="21"/>
              </w:rPr>
              <w:t>CF-HQ290ZI</w:t>
            </w:r>
          </w:p>
        </w:tc>
        <w:tc>
          <w:tcPr>
            <w:tcW w:w="2060" w:type="dxa"/>
            <w:tcBorders>
              <w:top w:val="single" w:color="auto" w:sz="4" w:space="0"/>
              <w:left w:val="single" w:color="auto" w:sz="4" w:space="0"/>
              <w:bottom w:val="single" w:color="auto" w:sz="4" w:space="0"/>
              <w:right w:val="single" w:color="auto" w:sz="4" w:space="0"/>
            </w:tcBorders>
            <w:noWrap/>
            <w:vAlign w:val="center"/>
          </w:tcPr>
          <w:p w14:paraId="458AA4F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446FA7A">
            <w:pPr>
              <w:jc w:val="center"/>
              <w:rPr>
                <w:rFonts w:hint="eastAsia" w:ascii="宋体" w:hAnsi="宋体" w:eastAsia="宋体" w:cs="宋体"/>
                <w:sz w:val="21"/>
                <w:szCs w:val="21"/>
              </w:rPr>
            </w:pPr>
            <w:r>
              <w:rPr>
                <w:rFonts w:hint="eastAsia" w:ascii="宋体" w:hAnsi="宋体" w:eastAsia="宋体" w:cs="宋体"/>
                <w:sz w:val="21"/>
                <w:szCs w:val="21"/>
              </w:rPr>
              <w:t>2821876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AD5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5B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C10F79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21C44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640" w:type="dxa"/>
            <w:tcBorders>
              <w:top w:val="single" w:color="auto" w:sz="4" w:space="0"/>
              <w:left w:val="single" w:color="auto" w:sz="4" w:space="0"/>
              <w:bottom w:val="single" w:color="auto" w:sz="4" w:space="0"/>
              <w:right w:val="single" w:color="auto" w:sz="4" w:space="0"/>
            </w:tcBorders>
            <w:noWrap/>
            <w:vAlign w:val="center"/>
          </w:tcPr>
          <w:p w14:paraId="5CBF2E33">
            <w:pPr>
              <w:jc w:val="center"/>
              <w:rPr>
                <w:rFonts w:hint="eastAsia" w:ascii="宋体" w:hAnsi="宋体" w:eastAsia="宋体" w:cs="宋体"/>
                <w:sz w:val="21"/>
                <w:szCs w:val="21"/>
              </w:rPr>
            </w:pPr>
            <w:r>
              <w:rPr>
                <w:rFonts w:hint="eastAsia" w:ascii="宋体" w:hAnsi="宋体" w:eastAsia="宋体" w:cs="宋体"/>
                <w:sz w:val="21"/>
                <w:szCs w:val="21"/>
              </w:rPr>
              <w:t>PCF-Q260AZI</w:t>
            </w:r>
          </w:p>
        </w:tc>
        <w:tc>
          <w:tcPr>
            <w:tcW w:w="2060" w:type="dxa"/>
            <w:tcBorders>
              <w:top w:val="single" w:color="auto" w:sz="4" w:space="0"/>
              <w:left w:val="single" w:color="auto" w:sz="4" w:space="0"/>
              <w:bottom w:val="single" w:color="auto" w:sz="4" w:space="0"/>
              <w:right w:val="single" w:color="auto" w:sz="4" w:space="0"/>
            </w:tcBorders>
            <w:noWrap/>
            <w:vAlign w:val="center"/>
          </w:tcPr>
          <w:p w14:paraId="67C3454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52E4259">
            <w:pPr>
              <w:jc w:val="center"/>
              <w:rPr>
                <w:rFonts w:hint="eastAsia" w:ascii="宋体" w:hAnsi="宋体" w:eastAsia="宋体" w:cs="宋体"/>
                <w:sz w:val="21"/>
                <w:szCs w:val="21"/>
              </w:rPr>
            </w:pPr>
            <w:r>
              <w:rPr>
                <w:rFonts w:hint="eastAsia" w:ascii="宋体" w:hAnsi="宋体" w:eastAsia="宋体" w:cs="宋体"/>
                <w:sz w:val="21"/>
                <w:szCs w:val="21"/>
              </w:rPr>
              <w:t>2302269</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A7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F2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AA147D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A9F71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640" w:type="dxa"/>
            <w:tcBorders>
              <w:top w:val="single" w:color="auto" w:sz="4" w:space="0"/>
              <w:left w:val="single" w:color="auto" w:sz="4" w:space="0"/>
              <w:bottom w:val="single" w:color="auto" w:sz="4" w:space="0"/>
              <w:right w:val="single" w:color="auto" w:sz="4" w:space="0"/>
            </w:tcBorders>
            <w:noWrap/>
            <w:vAlign w:val="center"/>
          </w:tcPr>
          <w:p w14:paraId="5AC74966">
            <w:pPr>
              <w:jc w:val="center"/>
              <w:rPr>
                <w:rFonts w:hint="eastAsia" w:ascii="宋体" w:hAnsi="宋体" w:eastAsia="宋体" w:cs="宋体"/>
                <w:sz w:val="21"/>
                <w:szCs w:val="21"/>
              </w:rPr>
            </w:pPr>
            <w:r>
              <w:rPr>
                <w:rFonts w:hint="eastAsia" w:ascii="宋体" w:hAnsi="宋体" w:eastAsia="宋体" w:cs="宋体"/>
                <w:sz w:val="21"/>
                <w:szCs w:val="21"/>
              </w:rPr>
              <w:t>PCF-Q260JI</w:t>
            </w:r>
          </w:p>
        </w:tc>
        <w:tc>
          <w:tcPr>
            <w:tcW w:w="2060" w:type="dxa"/>
            <w:tcBorders>
              <w:top w:val="single" w:color="auto" w:sz="4" w:space="0"/>
              <w:left w:val="single" w:color="auto" w:sz="4" w:space="0"/>
              <w:bottom w:val="single" w:color="auto" w:sz="4" w:space="0"/>
              <w:right w:val="single" w:color="auto" w:sz="4" w:space="0"/>
            </w:tcBorders>
            <w:noWrap/>
            <w:vAlign w:val="center"/>
          </w:tcPr>
          <w:p w14:paraId="4CFA8D3A">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D7DE988">
            <w:pPr>
              <w:jc w:val="center"/>
              <w:rPr>
                <w:rFonts w:hint="eastAsia" w:ascii="宋体" w:hAnsi="宋体" w:eastAsia="宋体" w:cs="宋体"/>
                <w:sz w:val="21"/>
                <w:szCs w:val="21"/>
              </w:rPr>
            </w:pPr>
            <w:r>
              <w:rPr>
                <w:rFonts w:hint="eastAsia" w:ascii="宋体" w:hAnsi="宋体" w:eastAsia="宋体" w:cs="宋体"/>
                <w:sz w:val="21"/>
                <w:szCs w:val="21"/>
              </w:rPr>
              <w:t>2410948</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8BC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5E0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2C0742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9E3D2BB">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640" w:type="dxa"/>
            <w:tcBorders>
              <w:top w:val="single" w:color="auto" w:sz="4" w:space="0"/>
              <w:left w:val="single" w:color="auto" w:sz="4" w:space="0"/>
              <w:bottom w:val="single" w:color="auto" w:sz="4" w:space="0"/>
              <w:right w:val="single" w:color="auto" w:sz="4" w:space="0"/>
            </w:tcBorders>
            <w:noWrap/>
            <w:vAlign w:val="center"/>
          </w:tcPr>
          <w:p w14:paraId="5FE410AD">
            <w:pPr>
              <w:jc w:val="center"/>
              <w:rPr>
                <w:rFonts w:hint="eastAsia" w:ascii="宋体" w:hAnsi="宋体" w:eastAsia="宋体" w:cs="宋体"/>
                <w:sz w:val="21"/>
                <w:szCs w:val="21"/>
              </w:rPr>
            </w:pPr>
            <w:r>
              <w:rPr>
                <w:rFonts w:hint="eastAsia" w:ascii="宋体" w:hAnsi="宋体" w:eastAsia="宋体" w:cs="宋体"/>
                <w:sz w:val="21"/>
                <w:szCs w:val="21"/>
              </w:rPr>
              <w:t>CF-H260AI</w:t>
            </w:r>
          </w:p>
        </w:tc>
        <w:tc>
          <w:tcPr>
            <w:tcW w:w="2060" w:type="dxa"/>
            <w:tcBorders>
              <w:top w:val="single" w:color="auto" w:sz="4" w:space="0"/>
              <w:left w:val="single" w:color="auto" w:sz="4" w:space="0"/>
              <w:bottom w:val="single" w:color="auto" w:sz="4" w:space="0"/>
              <w:right w:val="single" w:color="auto" w:sz="4" w:space="0"/>
            </w:tcBorders>
            <w:noWrap/>
            <w:vAlign w:val="center"/>
          </w:tcPr>
          <w:p w14:paraId="5E7ABEE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6D54490">
            <w:pPr>
              <w:jc w:val="center"/>
              <w:rPr>
                <w:rFonts w:hint="eastAsia" w:ascii="宋体" w:hAnsi="宋体" w:eastAsia="宋体" w:cs="宋体"/>
                <w:sz w:val="21"/>
                <w:szCs w:val="21"/>
              </w:rPr>
            </w:pPr>
            <w:r>
              <w:rPr>
                <w:rFonts w:hint="eastAsia" w:ascii="宋体" w:hAnsi="宋体" w:eastAsia="宋体" w:cs="宋体"/>
                <w:sz w:val="21"/>
                <w:szCs w:val="21"/>
              </w:rPr>
              <w:t>2405601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B63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D00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E50D4B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FB301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p>
        </w:tc>
        <w:tc>
          <w:tcPr>
            <w:tcW w:w="1640" w:type="dxa"/>
            <w:tcBorders>
              <w:top w:val="single" w:color="auto" w:sz="4" w:space="0"/>
              <w:left w:val="single" w:color="auto" w:sz="4" w:space="0"/>
              <w:bottom w:val="single" w:color="auto" w:sz="4" w:space="0"/>
              <w:right w:val="single" w:color="auto" w:sz="4" w:space="0"/>
            </w:tcBorders>
            <w:noWrap/>
            <w:vAlign w:val="center"/>
          </w:tcPr>
          <w:p w14:paraId="135391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61BB3C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0783358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7829396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5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1B3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2D12B2F">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03DAB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p>
        </w:tc>
        <w:tc>
          <w:tcPr>
            <w:tcW w:w="1640" w:type="dxa"/>
            <w:tcBorders>
              <w:top w:val="single" w:color="auto" w:sz="4" w:space="0"/>
              <w:left w:val="single" w:color="auto" w:sz="4" w:space="0"/>
              <w:bottom w:val="single" w:color="auto" w:sz="4" w:space="0"/>
              <w:right w:val="single" w:color="auto" w:sz="4" w:space="0"/>
            </w:tcBorders>
            <w:noWrap/>
            <w:vAlign w:val="center"/>
          </w:tcPr>
          <w:p w14:paraId="6A31C1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0170140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3AA328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7485765</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8CE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EC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A7F91F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5E8A5E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17</w:t>
            </w:r>
          </w:p>
        </w:tc>
        <w:tc>
          <w:tcPr>
            <w:tcW w:w="1640" w:type="dxa"/>
            <w:tcBorders>
              <w:top w:val="single" w:color="auto" w:sz="4" w:space="0"/>
              <w:left w:val="single" w:color="auto" w:sz="4" w:space="0"/>
              <w:bottom w:val="single" w:color="auto" w:sz="4" w:space="0"/>
              <w:right w:val="single" w:color="auto" w:sz="4" w:space="0"/>
            </w:tcBorders>
            <w:noWrap/>
            <w:vAlign w:val="center"/>
          </w:tcPr>
          <w:p w14:paraId="651B04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1D4ACF4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4A4F2A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7485504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37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DC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C3B0AA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67FFFA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p>
        </w:tc>
        <w:tc>
          <w:tcPr>
            <w:tcW w:w="1640" w:type="dxa"/>
            <w:tcBorders>
              <w:top w:val="single" w:color="auto" w:sz="4" w:space="0"/>
              <w:left w:val="single" w:color="auto" w:sz="4" w:space="0"/>
              <w:bottom w:val="single" w:color="auto" w:sz="4" w:space="0"/>
              <w:right w:val="single" w:color="auto" w:sz="4" w:space="0"/>
            </w:tcBorders>
            <w:noWrap/>
            <w:vAlign w:val="center"/>
          </w:tcPr>
          <w:p w14:paraId="5C919D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312520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0FAEDC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7413051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904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678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5901A74">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09E856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w:t>
            </w:r>
          </w:p>
        </w:tc>
        <w:tc>
          <w:tcPr>
            <w:tcW w:w="1640" w:type="dxa"/>
            <w:tcBorders>
              <w:top w:val="single" w:color="auto" w:sz="4" w:space="0"/>
              <w:left w:val="single" w:color="auto" w:sz="4" w:space="0"/>
              <w:bottom w:val="single" w:color="auto" w:sz="4" w:space="0"/>
              <w:right w:val="single" w:color="auto" w:sz="4" w:space="0"/>
            </w:tcBorders>
            <w:noWrap/>
            <w:vAlign w:val="center"/>
          </w:tcPr>
          <w:p w14:paraId="3838CD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7C0EC2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14D3E7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7412744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368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AE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A36FCE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59920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w:t>
            </w:r>
          </w:p>
        </w:tc>
        <w:tc>
          <w:tcPr>
            <w:tcW w:w="1640" w:type="dxa"/>
            <w:tcBorders>
              <w:top w:val="single" w:color="auto" w:sz="4" w:space="0"/>
              <w:left w:val="single" w:color="auto" w:sz="4" w:space="0"/>
              <w:bottom w:val="single" w:color="auto" w:sz="4" w:space="0"/>
              <w:right w:val="single" w:color="auto" w:sz="4" w:space="0"/>
            </w:tcBorders>
            <w:noWrap/>
            <w:vAlign w:val="center"/>
          </w:tcPr>
          <w:p w14:paraId="0945FB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782E7F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60074E7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7821031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9A1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6EA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5942075">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080E924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1</w:t>
            </w:r>
          </w:p>
        </w:tc>
        <w:tc>
          <w:tcPr>
            <w:tcW w:w="1640" w:type="dxa"/>
            <w:tcBorders>
              <w:top w:val="single" w:color="auto" w:sz="4" w:space="0"/>
              <w:left w:val="single" w:color="auto" w:sz="4" w:space="0"/>
              <w:bottom w:val="single" w:color="auto" w:sz="4" w:space="0"/>
              <w:right w:val="single" w:color="auto" w:sz="4" w:space="0"/>
            </w:tcBorders>
            <w:noWrap/>
            <w:vAlign w:val="center"/>
          </w:tcPr>
          <w:p w14:paraId="5A97AE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UCR</w:t>
            </w:r>
          </w:p>
        </w:tc>
        <w:tc>
          <w:tcPr>
            <w:tcW w:w="2060" w:type="dxa"/>
            <w:tcBorders>
              <w:top w:val="single" w:color="auto" w:sz="4" w:space="0"/>
              <w:left w:val="single" w:color="auto" w:sz="4" w:space="0"/>
              <w:bottom w:val="single" w:color="auto" w:sz="4" w:space="0"/>
              <w:right w:val="single" w:color="auto" w:sz="4" w:space="0"/>
            </w:tcBorders>
            <w:noWrap/>
            <w:vAlign w:val="center"/>
          </w:tcPr>
          <w:p w14:paraId="656DE1F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内窥镜用二氧化碳送气装置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28B03A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7835680</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C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2F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89A7864">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155EC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2</w:t>
            </w:r>
          </w:p>
        </w:tc>
        <w:tc>
          <w:tcPr>
            <w:tcW w:w="1640" w:type="dxa"/>
            <w:tcBorders>
              <w:top w:val="single" w:color="auto" w:sz="4" w:space="0"/>
              <w:left w:val="single" w:color="auto" w:sz="4" w:space="0"/>
              <w:bottom w:val="single" w:color="auto" w:sz="4" w:space="0"/>
              <w:right w:val="single" w:color="auto" w:sz="4" w:space="0"/>
            </w:tcBorders>
            <w:noWrap/>
            <w:vAlign w:val="center"/>
          </w:tcPr>
          <w:p w14:paraId="03FBC2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UCR</w:t>
            </w:r>
          </w:p>
        </w:tc>
        <w:tc>
          <w:tcPr>
            <w:tcW w:w="2060" w:type="dxa"/>
            <w:tcBorders>
              <w:top w:val="single" w:color="auto" w:sz="4" w:space="0"/>
              <w:left w:val="single" w:color="auto" w:sz="4" w:space="0"/>
              <w:bottom w:val="single" w:color="auto" w:sz="4" w:space="0"/>
              <w:right w:val="single" w:color="auto" w:sz="4" w:space="0"/>
            </w:tcBorders>
            <w:noWrap/>
            <w:vAlign w:val="center"/>
          </w:tcPr>
          <w:p w14:paraId="1CB6AE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内窥镜用二氧化碳送气装置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197363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7422603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7DC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25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bl>
    <w:p w14:paraId="0B397750">
      <w:pPr>
        <w:spacing w:line="240" w:lineRule="auto"/>
        <w:jc w:val="left"/>
        <w:rPr>
          <w:rFonts w:hint="eastAsia"/>
        </w:rPr>
      </w:pPr>
      <w:r>
        <w:rPr>
          <w:rFonts w:hint="eastAsia" w:ascii="宋体" w:hAnsi="宋体" w:eastAsia="宋体" w:cs="宋体"/>
          <w:b/>
          <w:bCs/>
          <w:color w:val="000000"/>
          <w:szCs w:val="21"/>
        </w:rPr>
        <w:br w:type="page"/>
      </w:r>
    </w:p>
    <w:p w14:paraId="3B7F00D0">
      <w:pPr>
        <w:tabs>
          <w:tab w:val="left" w:pos="180"/>
          <w:tab w:val="left" w:pos="1620"/>
        </w:tabs>
        <w:spacing w:line="360" w:lineRule="auto"/>
        <w:jc w:val="center"/>
        <w:rPr>
          <w:rFonts w:hint="default" w:ascii="宋体" w:hAnsi="宋体" w:eastAsia="宋体" w:cs="宋体"/>
          <w:b/>
          <w:bCs/>
          <w:color w:val="000000"/>
          <w:szCs w:val="21"/>
          <w:lang w:val="en-US" w:eastAsia="zh-CN"/>
        </w:rPr>
      </w:pPr>
      <w:r>
        <w:rPr>
          <w:rFonts w:hint="eastAsia" w:ascii="宋体" w:hAnsi="宋体" w:eastAsia="宋体" w:cs="宋体"/>
          <w:b/>
          <w:bCs/>
          <w:color w:val="000000"/>
          <w:sz w:val="28"/>
          <w:szCs w:val="28"/>
        </w:rPr>
        <w:t>呼吸内科奥林巴斯内镜</w:t>
      </w:r>
      <w:r>
        <w:rPr>
          <w:rFonts w:hint="eastAsia" w:ascii="宋体" w:hAnsi="宋体" w:eastAsia="宋体" w:cs="宋体"/>
          <w:b/>
          <w:bCs/>
          <w:color w:val="000000"/>
          <w:sz w:val="28"/>
          <w:szCs w:val="28"/>
          <w:lang w:val="en-US" w:eastAsia="zh-CN"/>
        </w:rPr>
        <w:t>维保设备</w:t>
      </w:r>
      <w:r>
        <w:rPr>
          <w:rFonts w:hint="eastAsia" w:ascii="宋体" w:hAnsi="宋体" w:cs="宋体"/>
          <w:b/>
          <w:bCs/>
          <w:color w:val="000000"/>
          <w:sz w:val="28"/>
          <w:szCs w:val="28"/>
          <w:lang w:val="en-US" w:eastAsia="zh-CN"/>
        </w:rPr>
        <w:t>明细</w:t>
      </w: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19"/>
        <w:gridCol w:w="2380"/>
        <w:gridCol w:w="1466"/>
        <w:gridCol w:w="918"/>
        <w:gridCol w:w="1379"/>
      </w:tblGrid>
      <w:tr w14:paraId="0D50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66F316CF">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19" w:type="dxa"/>
            <w:noWrap w:val="0"/>
            <w:vAlign w:val="center"/>
          </w:tcPr>
          <w:p w14:paraId="3CC4A7B0">
            <w:pPr>
              <w:jc w:val="center"/>
              <w:rPr>
                <w:rFonts w:hint="eastAsia" w:ascii="宋体" w:hAnsi="宋体" w:eastAsia="宋体" w:cs="宋体"/>
                <w:b/>
                <w:bCs/>
                <w:sz w:val="21"/>
                <w:szCs w:val="21"/>
              </w:rPr>
            </w:pPr>
            <w:r>
              <w:rPr>
                <w:rFonts w:hint="eastAsia" w:ascii="宋体" w:hAnsi="宋体" w:eastAsia="宋体" w:cs="宋体"/>
                <w:b/>
                <w:bCs/>
                <w:sz w:val="21"/>
                <w:szCs w:val="21"/>
              </w:rPr>
              <w:t>型号</w:t>
            </w:r>
          </w:p>
        </w:tc>
        <w:tc>
          <w:tcPr>
            <w:tcW w:w="2380" w:type="dxa"/>
            <w:noWrap w:val="0"/>
            <w:vAlign w:val="center"/>
          </w:tcPr>
          <w:p w14:paraId="7ABCA164">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466" w:type="dxa"/>
            <w:noWrap w:val="0"/>
            <w:vAlign w:val="center"/>
          </w:tcPr>
          <w:p w14:paraId="21DF64A2">
            <w:pPr>
              <w:jc w:val="center"/>
              <w:rPr>
                <w:rFonts w:hint="eastAsia" w:ascii="宋体" w:hAnsi="宋体" w:eastAsia="宋体" w:cs="宋体"/>
                <w:b/>
                <w:bCs/>
                <w:sz w:val="21"/>
                <w:szCs w:val="21"/>
              </w:rPr>
            </w:pPr>
            <w:r>
              <w:rPr>
                <w:rFonts w:hint="eastAsia" w:ascii="宋体" w:hAnsi="宋体" w:eastAsia="宋体" w:cs="宋体"/>
                <w:b/>
                <w:bCs/>
                <w:sz w:val="21"/>
                <w:szCs w:val="21"/>
              </w:rPr>
              <w:t>机身号</w:t>
            </w:r>
          </w:p>
        </w:tc>
        <w:tc>
          <w:tcPr>
            <w:tcW w:w="918" w:type="dxa"/>
            <w:shd w:val="clear" w:color="auto" w:fill="auto"/>
            <w:noWrap w:val="0"/>
            <w:vAlign w:val="center"/>
          </w:tcPr>
          <w:p w14:paraId="06B8E9C5">
            <w:pPr>
              <w:widowControl/>
              <w:spacing w:line="360" w:lineRule="auto"/>
              <w:jc w:val="center"/>
              <w:rPr>
                <w:rFonts w:hint="eastAsia" w:ascii="宋体" w:hAnsi="宋体" w:eastAsia="宋体" w:cs="Times New Roman"/>
                <w:b/>
                <w:bCs/>
                <w:kern w:val="2"/>
                <w:sz w:val="21"/>
                <w:szCs w:val="24"/>
                <w:vertAlign w:val="baseline"/>
                <w:lang w:val="en-US" w:eastAsia="zh-CN" w:bidi="ar-SA"/>
              </w:rPr>
            </w:pPr>
            <w:r>
              <w:rPr>
                <w:rFonts w:hint="eastAsia" w:ascii="宋体" w:hAnsi="宋体" w:eastAsia="宋体" w:cs="宋体"/>
                <w:b/>
                <w:bCs/>
                <w:sz w:val="20"/>
                <w:szCs w:val="18"/>
                <w:lang w:val="en-US" w:eastAsia="zh-CN"/>
              </w:rPr>
              <w:t>数量</w:t>
            </w:r>
          </w:p>
        </w:tc>
        <w:tc>
          <w:tcPr>
            <w:tcW w:w="1379" w:type="dxa"/>
            <w:shd w:val="clear" w:color="auto" w:fill="auto"/>
            <w:noWrap w:val="0"/>
            <w:vAlign w:val="center"/>
          </w:tcPr>
          <w:p w14:paraId="0DC21138">
            <w:pPr>
              <w:pStyle w:val="12"/>
              <w:numPr>
                <w:ilvl w:val="0"/>
                <w:numId w:val="0"/>
              </w:numPr>
              <w:adjustRightInd/>
              <w:spacing w:line="360" w:lineRule="auto"/>
              <w:ind w:left="0" w:leftChars="0" w:firstLine="0" w:firstLineChars="0"/>
              <w:jc w:val="center"/>
              <w:rPr>
                <w:rFonts w:hint="eastAsia" w:ascii="宋体" w:hAnsi="宋体" w:eastAsia="宋体" w:cs="Times New Roman"/>
                <w:kern w:val="0"/>
                <w:sz w:val="21"/>
                <w:szCs w:val="20"/>
                <w:vertAlign w:val="baseline"/>
                <w:lang w:val="en-US" w:eastAsia="zh-CN" w:bidi="ar-SA"/>
              </w:rPr>
            </w:pPr>
            <w:r>
              <w:rPr>
                <w:rFonts w:hint="eastAsia" w:ascii="宋体" w:hAnsi="宋体" w:eastAsia="宋体"/>
                <w:b/>
                <w:bCs/>
                <w:vertAlign w:val="baseline"/>
                <w:lang w:val="en-US" w:eastAsia="zh-CN"/>
              </w:rPr>
              <w:t>维保要求</w:t>
            </w:r>
          </w:p>
        </w:tc>
      </w:tr>
      <w:tr w14:paraId="215F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0C8AE5">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19" w:type="dxa"/>
            <w:noWrap w:val="0"/>
            <w:vAlign w:val="center"/>
          </w:tcPr>
          <w:p w14:paraId="760E603D">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7A6B017F">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3B77DC8E">
            <w:pPr>
              <w:jc w:val="center"/>
              <w:rPr>
                <w:rFonts w:hint="eastAsia" w:ascii="宋体" w:hAnsi="宋体" w:eastAsia="宋体" w:cs="宋体"/>
                <w:sz w:val="21"/>
                <w:szCs w:val="21"/>
              </w:rPr>
            </w:pPr>
            <w:r>
              <w:rPr>
                <w:rFonts w:hint="eastAsia" w:ascii="宋体" w:hAnsi="宋体" w:eastAsia="宋体" w:cs="宋体"/>
                <w:sz w:val="21"/>
                <w:szCs w:val="21"/>
              </w:rPr>
              <w:t>2814881</w:t>
            </w:r>
          </w:p>
        </w:tc>
        <w:tc>
          <w:tcPr>
            <w:tcW w:w="918" w:type="dxa"/>
            <w:shd w:val="clear" w:color="auto" w:fill="auto"/>
            <w:noWrap w:val="0"/>
            <w:vAlign w:val="center"/>
          </w:tcPr>
          <w:p w14:paraId="4D902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0DC5C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45D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0691563">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19" w:type="dxa"/>
            <w:noWrap w:val="0"/>
            <w:vAlign w:val="center"/>
          </w:tcPr>
          <w:p w14:paraId="711ADC2E">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025DE78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3B381B40">
            <w:pPr>
              <w:jc w:val="center"/>
              <w:rPr>
                <w:rFonts w:hint="eastAsia" w:ascii="宋体" w:hAnsi="宋体" w:eastAsia="宋体" w:cs="宋体"/>
                <w:sz w:val="21"/>
                <w:szCs w:val="21"/>
              </w:rPr>
            </w:pPr>
            <w:r>
              <w:rPr>
                <w:rFonts w:hint="eastAsia" w:ascii="宋体" w:hAnsi="宋体" w:eastAsia="宋体" w:cs="宋体"/>
                <w:sz w:val="21"/>
                <w:szCs w:val="21"/>
              </w:rPr>
              <w:t>2814868</w:t>
            </w:r>
          </w:p>
        </w:tc>
        <w:tc>
          <w:tcPr>
            <w:tcW w:w="918" w:type="dxa"/>
            <w:shd w:val="clear" w:color="auto" w:fill="auto"/>
            <w:noWrap w:val="0"/>
            <w:vAlign w:val="center"/>
          </w:tcPr>
          <w:p w14:paraId="72C817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A09A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07E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2298D15">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19" w:type="dxa"/>
            <w:noWrap w:val="0"/>
            <w:vAlign w:val="center"/>
          </w:tcPr>
          <w:p w14:paraId="791A46EC">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4FD1B70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586761F0">
            <w:pPr>
              <w:jc w:val="center"/>
              <w:rPr>
                <w:rFonts w:hint="eastAsia" w:ascii="宋体" w:hAnsi="宋体" w:eastAsia="宋体" w:cs="宋体"/>
                <w:sz w:val="21"/>
                <w:szCs w:val="21"/>
              </w:rPr>
            </w:pPr>
            <w:r>
              <w:rPr>
                <w:rFonts w:hint="eastAsia" w:ascii="宋体" w:hAnsi="宋体" w:eastAsia="宋体" w:cs="宋体"/>
                <w:sz w:val="21"/>
                <w:szCs w:val="21"/>
              </w:rPr>
              <w:t>2404161</w:t>
            </w:r>
          </w:p>
        </w:tc>
        <w:tc>
          <w:tcPr>
            <w:tcW w:w="918" w:type="dxa"/>
            <w:shd w:val="clear" w:color="auto" w:fill="auto"/>
            <w:noWrap w:val="0"/>
            <w:vAlign w:val="center"/>
          </w:tcPr>
          <w:p w14:paraId="19387B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03E21B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220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047FF2F">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19" w:type="dxa"/>
            <w:noWrap w:val="0"/>
            <w:vAlign w:val="center"/>
          </w:tcPr>
          <w:p w14:paraId="419F6F1C">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4BA16683">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0568816D">
            <w:pPr>
              <w:jc w:val="center"/>
              <w:rPr>
                <w:rFonts w:hint="eastAsia" w:ascii="宋体" w:hAnsi="宋体" w:eastAsia="宋体" w:cs="宋体"/>
                <w:sz w:val="21"/>
                <w:szCs w:val="21"/>
              </w:rPr>
            </w:pPr>
            <w:r>
              <w:rPr>
                <w:rFonts w:hint="eastAsia" w:ascii="宋体" w:hAnsi="宋体" w:eastAsia="宋体" w:cs="宋体"/>
                <w:sz w:val="21"/>
                <w:szCs w:val="21"/>
              </w:rPr>
              <w:t>2813338</w:t>
            </w:r>
          </w:p>
        </w:tc>
        <w:tc>
          <w:tcPr>
            <w:tcW w:w="918" w:type="dxa"/>
            <w:shd w:val="clear" w:color="auto" w:fill="auto"/>
            <w:noWrap w:val="0"/>
            <w:vAlign w:val="center"/>
          </w:tcPr>
          <w:p w14:paraId="27E9E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67B0F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BE9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33D850">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19" w:type="dxa"/>
            <w:noWrap w:val="0"/>
            <w:vAlign w:val="center"/>
          </w:tcPr>
          <w:p w14:paraId="144C2613">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28A903C8">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203CEBA3">
            <w:pPr>
              <w:jc w:val="center"/>
              <w:rPr>
                <w:rFonts w:hint="eastAsia" w:ascii="宋体" w:hAnsi="宋体" w:eastAsia="宋体" w:cs="宋体"/>
                <w:sz w:val="21"/>
                <w:szCs w:val="21"/>
              </w:rPr>
            </w:pPr>
            <w:r>
              <w:rPr>
                <w:rFonts w:hint="eastAsia" w:ascii="宋体" w:hAnsi="宋体" w:eastAsia="宋体" w:cs="宋体"/>
                <w:sz w:val="21"/>
                <w:szCs w:val="21"/>
              </w:rPr>
              <w:t>2713331</w:t>
            </w:r>
          </w:p>
        </w:tc>
        <w:tc>
          <w:tcPr>
            <w:tcW w:w="918" w:type="dxa"/>
            <w:shd w:val="clear" w:color="auto" w:fill="auto"/>
            <w:noWrap w:val="0"/>
            <w:vAlign w:val="center"/>
          </w:tcPr>
          <w:p w14:paraId="65258B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186AA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5E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137D9E">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19" w:type="dxa"/>
            <w:noWrap w:val="0"/>
            <w:vAlign w:val="center"/>
          </w:tcPr>
          <w:p w14:paraId="3ACB9BDC">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6477850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41870942">
            <w:pPr>
              <w:jc w:val="center"/>
              <w:rPr>
                <w:rFonts w:hint="eastAsia" w:ascii="宋体" w:hAnsi="宋体" w:eastAsia="宋体" w:cs="宋体"/>
                <w:sz w:val="21"/>
                <w:szCs w:val="21"/>
              </w:rPr>
            </w:pPr>
            <w:r>
              <w:rPr>
                <w:rFonts w:hint="eastAsia" w:ascii="宋体" w:hAnsi="宋体" w:eastAsia="宋体" w:cs="宋体"/>
                <w:sz w:val="21"/>
                <w:szCs w:val="21"/>
              </w:rPr>
              <w:t>2402760</w:t>
            </w:r>
          </w:p>
        </w:tc>
        <w:tc>
          <w:tcPr>
            <w:tcW w:w="918" w:type="dxa"/>
            <w:shd w:val="clear" w:color="auto" w:fill="auto"/>
            <w:noWrap w:val="0"/>
            <w:vAlign w:val="center"/>
          </w:tcPr>
          <w:p w14:paraId="348F28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33443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921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0BA5D04A">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19" w:type="dxa"/>
            <w:noWrap w:val="0"/>
            <w:vAlign w:val="center"/>
          </w:tcPr>
          <w:p w14:paraId="38272195">
            <w:pPr>
              <w:jc w:val="center"/>
              <w:rPr>
                <w:rFonts w:hint="eastAsia" w:ascii="宋体" w:hAnsi="宋体" w:eastAsia="宋体" w:cs="宋体"/>
                <w:sz w:val="21"/>
                <w:szCs w:val="21"/>
              </w:rPr>
            </w:pPr>
            <w:r>
              <w:rPr>
                <w:rFonts w:hint="eastAsia" w:ascii="宋体" w:hAnsi="宋体" w:eastAsia="宋体" w:cs="宋体"/>
                <w:sz w:val="21"/>
                <w:szCs w:val="21"/>
              </w:rPr>
              <w:t>BF-P260F</w:t>
            </w:r>
          </w:p>
        </w:tc>
        <w:tc>
          <w:tcPr>
            <w:tcW w:w="2380" w:type="dxa"/>
            <w:noWrap w:val="0"/>
            <w:vAlign w:val="center"/>
          </w:tcPr>
          <w:p w14:paraId="5D0272C2">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2B6BB45C">
            <w:pPr>
              <w:jc w:val="center"/>
              <w:rPr>
                <w:rFonts w:hint="eastAsia" w:ascii="宋体" w:hAnsi="宋体" w:eastAsia="宋体" w:cs="宋体"/>
                <w:sz w:val="21"/>
                <w:szCs w:val="21"/>
              </w:rPr>
            </w:pPr>
            <w:r>
              <w:rPr>
                <w:rFonts w:hint="eastAsia" w:ascii="宋体" w:hAnsi="宋体" w:eastAsia="宋体" w:cs="宋体"/>
                <w:sz w:val="21"/>
                <w:szCs w:val="21"/>
              </w:rPr>
              <w:t>2751976</w:t>
            </w:r>
          </w:p>
        </w:tc>
        <w:tc>
          <w:tcPr>
            <w:tcW w:w="918" w:type="dxa"/>
            <w:shd w:val="clear" w:color="auto" w:fill="auto"/>
            <w:noWrap w:val="0"/>
            <w:vAlign w:val="center"/>
          </w:tcPr>
          <w:p w14:paraId="160A72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03394E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2A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3DA35FED">
            <w:pPr>
              <w:jc w:val="center"/>
              <w:rPr>
                <w:rFonts w:hint="eastAsia" w:ascii="宋体" w:hAnsi="宋体" w:eastAsia="宋体" w:cs="宋体"/>
                <w:sz w:val="21"/>
                <w:szCs w:val="21"/>
              </w:rPr>
            </w:pPr>
            <w:r>
              <w:rPr>
                <w:rFonts w:hint="eastAsia" w:ascii="宋体" w:hAnsi="宋体" w:eastAsia="宋体" w:cs="宋体"/>
                <w:sz w:val="21"/>
                <w:szCs w:val="21"/>
              </w:rPr>
              <w:t>8</w:t>
            </w:r>
          </w:p>
        </w:tc>
        <w:tc>
          <w:tcPr>
            <w:tcW w:w="1519" w:type="dxa"/>
            <w:noWrap w:val="0"/>
            <w:vAlign w:val="center"/>
          </w:tcPr>
          <w:p w14:paraId="0CA2F10C">
            <w:pPr>
              <w:jc w:val="center"/>
              <w:rPr>
                <w:rFonts w:hint="eastAsia" w:ascii="宋体" w:hAnsi="宋体" w:eastAsia="宋体" w:cs="宋体"/>
                <w:sz w:val="21"/>
                <w:szCs w:val="21"/>
              </w:rPr>
            </w:pPr>
            <w:r>
              <w:rPr>
                <w:rFonts w:hint="eastAsia" w:ascii="宋体" w:hAnsi="宋体" w:eastAsia="宋体" w:cs="宋体"/>
                <w:sz w:val="21"/>
                <w:szCs w:val="21"/>
              </w:rPr>
              <w:t>BF-P260F</w:t>
            </w:r>
          </w:p>
        </w:tc>
        <w:tc>
          <w:tcPr>
            <w:tcW w:w="2380" w:type="dxa"/>
            <w:noWrap w:val="0"/>
            <w:vAlign w:val="center"/>
          </w:tcPr>
          <w:p w14:paraId="7D02A58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1E6364C9">
            <w:pPr>
              <w:jc w:val="center"/>
              <w:rPr>
                <w:rFonts w:hint="eastAsia" w:ascii="宋体" w:hAnsi="宋体" w:eastAsia="宋体" w:cs="宋体"/>
                <w:sz w:val="21"/>
                <w:szCs w:val="21"/>
              </w:rPr>
            </w:pPr>
            <w:r>
              <w:rPr>
                <w:rFonts w:hint="eastAsia" w:ascii="宋体" w:hAnsi="宋体" w:eastAsia="宋体" w:cs="宋体"/>
                <w:sz w:val="21"/>
                <w:szCs w:val="21"/>
              </w:rPr>
              <w:t>2751968</w:t>
            </w:r>
          </w:p>
        </w:tc>
        <w:tc>
          <w:tcPr>
            <w:tcW w:w="918" w:type="dxa"/>
            <w:shd w:val="clear" w:color="auto" w:fill="auto"/>
            <w:noWrap w:val="0"/>
            <w:vAlign w:val="center"/>
          </w:tcPr>
          <w:p w14:paraId="31D6D2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1E26BD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70B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13FF9062">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19" w:type="dxa"/>
            <w:noWrap w:val="0"/>
            <w:vAlign w:val="center"/>
          </w:tcPr>
          <w:p w14:paraId="1D51C1AD">
            <w:pPr>
              <w:jc w:val="center"/>
              <w:rPr>
                <w:rFonts w:hint="eastAsia" w:ascii="宋体" w:hAnsi="宋体" w:eastAsia="宋体" w:cs="宋体"/>
                <w:sz w:val="21"/>
                <w:szCs w:val="21"/>
              </w:rPr>
            </w:pPr>
            <w:r>
              <w:rPr>
                <w:rFonts w:hint="eastAsia" w:ascii="宋体" w:hAnsi="宋体" w:eastAsia="宋体" w:cs="宋体"/>
                <w:sz w:val="21"/>
                <w:szCs w:val="21"/>
              </w:rPr>
              <w:t>BF-UC260FW</w:t>
            </w:r>
          </w:p>
        </w:tc>
        <w:tc>
          <w:tcPr>
            <w:tcW w:w="2380" w:type="dxa"/>
            <w:noWrap w:val="0"/>
            <w:vAlign w:val="center"/>
          </w:tcPr>
          <w:p w14:paraId="62874412">
            <w:pPr>
              <w:jc w:val="center"/>
              <w:rPr>
                <w:rFonts w:hint="eastAsia" w:ascii="宋体" w:hAnsi="宋体" w:eastAsia="宋体" w:cs="宋体"/>
                <w:sz w:val="21"/>
                <w:szCs w:val="21"/>
              </w:rPr>
            </w:pPr>
            <w:r>
              <w:rPr>
                <w:rFonts w:hint="eastAsia" w:ascii="宋体" w:hAnsi="宋体" w:eastAsia="宋体" w:cs="宋体"/>
                <w:sz w:val="21"/>
                <w:szCs w:val="21"/>
              </w:rPr>
              <w:t>超声光纤电子支气管镜</w:t>
            </w:r>
          </w:p>
        </w:tc>
        <w:tc>
          <w:tcPr>
            <w:tcW w:w="1466" w:type="dxa"/>
            <w:noWrap w:val="0"/>
            <w:vAlign w:val="center"/>
          </w:tcPr>
          <w:p w14:paraId="515B41D1">
            <w:pPr>
              <w:jc w:val="center"/>
              <w:rPr>
                <w:rFonts w:hint="eastAsia" w:ascii="宋体" w:hAnsi="宋体" w:eastAsia="宋体" w:cs="宋体"/>
                <w:sz w:val="21"/>
                <w:szCs w:val="21"/>
              </w:rPr>
            </w:pPr>
            <w:r>
              <w:rPr>
                <w:rFonts w:hint="eastAsia" w:ascii="宋体" w:hAnsi="宋体" w:eastAsia="宋体" w:cs="宋体"/>
                <w:sz w:val="21"/>
                <w:szCs w:val="21"/>
              </w:rPr>
              <w:t>7820681</w:t>
            </w:r>
          </w:p>
        </w:tc>
        <w:tc>
          <w:tcPr>
            <w:tcW w:w="918" w:type="dxa"/>
            <w:shd w:val="clear" w:color="auto" w:fill="auto"/>
            <w:noWrap w:val="0"/>
            <w:vAlign w:val="center"/>
          </w:tcPr>
          <w:p w14:paraId="10E9AB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237479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94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F88CEA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19" w:type="dxa"/>
            <w:noWrap w:val="0"/>
            <w:vAlign w:val="center"/>
          </w:tcPr>
          <w:p w14:paraId="58945096">
            <w:pPr>
              <w:jc w:val="center"/>
              <w:rPr>
                <w:rFonts w:hint="eastAsia" w:ascii="宋体" w:hAnsi="宋体" w:eastAsia="宋体" w:cs="宋体"/>
                <w:sz w:val="21"/>
                <w:szCs w:val="21"/>
              </w:rPr>
            </w:pPr>
            <w:r>
              <w:rPr>
                <w:rFonts w:hint="eastAsia" w:ascii="宋体" w:hAnsi="宋体" w:eastAsia="宋体" w:cs="宋体"/>
                <w:sz w:val="21"/>
                <w:szCs w:val="21"/>
              </w:rPr>
              <w:t>LTF-240</w:t>
            </w:r>
          </w:p>
        </w:tc>
        <w:tc>
          <w:tcPr>
            <w:tcW w:w="2380" w:type="dxa"/>
            <w:noWrap w:val="0"/>
            <w:vAlign w:val="center"/>
          </w:tcPr>
          <w:p w14:paraId="4303EFD6">
            <w:pPr>
              <w:jc w:val="center"/>
              <w:rPr>
                <w:rFonts w:hint="eastAsia" w:ascii="宋体" w:hAnsi="宋体" w:eastAsia="宋体" w:cs="宋体"/>
                <w:sz w:val="21"/>
                <w:szCs w:val="21"/>
              </w:rPr>
            </w:pPr>
            <w:r>
              <w:rPr>
                <w:rFonts w:hint="eastAsia" w:ascii="宋体" w:hAnsi="宋体" w:eastAsia="宋体" w:cs="宋体"/>
                <w:sz w:val="21"/>
                <w:szCs w:val="21"/>
              </w:rPr>
              <w:t>电子胸腔镜</w:t>
            </w:r>
          </w:p>
        </w:tc>
        <w:tc>
          <w:tcPr>
            <w:tcW w:w="1466" w:type="dxa"/>
            <w:noWrap w:val="0"/>
            <w:vAlign w:val="center"/>
          </w:tcPr>
          <w:p w14:paraId="413F1601">
            <w:pPr>
              <w:jc w:val="center"/>
              <w:rPr>
                <w:rFonts w:hint="eastAsia" w:ascii="宋体" w:hAnsi="宋体" w:eastAsia="宋体" w:cs="宋体"/>
                <w:sz w:val="21"/>
                <w:szCs w:val="21"/>
              </w:rPr>
            </w:pPr>
            <w:r>
              <w:rPr>
                <w:rFonts w:hint="eastAsia" w:ascii="宋体" w:hAnsi="宋体" w:eastAsia="宋体" w:cs="宋体"/>
                <w:sz w:val="21"/>
                <w:szCs w:val="21"/>
              </w:rPr>
              <w:t>2400669</w:t>
            </w:r>
          </w:p>
        </w:tc>
        <w:tc>
          <w:tcPr>
            <w:tcW w:w="918" w:type="dxa"/>
            <w:shd w:val="clear" w:color="auto" w:fill="auto"/>
            <w:noWrap w:val="0"/>
            <w:vAlign w:val="center"/>
          </w:tcPr>
          <w:p w14:paraId="51B8F8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5E91C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600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1A4E86A8">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519" w:type="dxa"/>
            <w:noWrap w:val="0"/>
            <w:vAlign w:val="center"/>
          </w:tcPr>
          <w:p w14:paraId="73B35E5C">
            <w:pPr>
              <w:jc w:val="center"/>
              <w:rPr>
                <w:rFonts w:hint="eastAsia" w:ascii="宋体" w:hAnsi="宋体" w:eastAsia="宋体" w:cs="宋体"/>
                <w:sz w:val="21"/>
                <w:szCs w:val="21"/>
              </w:rPr>
            </w:pPr>
            <w:r>
              <w:rPr>
                <w:rFonts w:hint="eastAsia" w:ascii="宋体" w:hAnsi="宋体" w:eastAsia="宋体" w:cs="宋体"/>
                <w:sz w:val="21"/>
                <w:szCs w:val="21"/>
              </w:rPr>
              <w:t>MAJ-1720</w:t>
            </w:r>
          </w:p>
        </w:tc>
        <w:tc>
          <w:tcPr>
            <w:tcW w:w="2380" w:type="dxa"/>
            <w:noWrap w:val="0"/>
            <w:vAlign w:val="center"/>
          </w:tcPr>
          <w:p w14:paraId="7D9C34BC">
            <w:pPr>
              <w:jc w:val="center"/>
              <w:rPr>
                <w:rFonts w:hint="eastAsia" w:ascii="宋体" w:hAnsi="宋体" w:eastAsia="宋体" w:cs="宋体"/>
                <w:sz w:val="21"/>
                <w:szCs w:val="21"/>
              </w:rPr>
            </w:pPr>
            <w:r>
              <w:rPr>
                <w:rFonts w:hint="eastAsia" w:ascii="宋体" w:hAnsi="宋体" w:eastAsia="宋体" w:cs="宋体"/>
                <w:sz w:val="21"/>
                <w:szCs w:val="21"/>
              </w:rPr>
              <w:t>超声探头驱动器</w:t>
            </w:r>
          </w:p>
        </w:tc>
        <w:tc>
          <w:tcPr>
            <w:tcW w:w="1466" w:type="dxa"/>
            <w:noWrap w:val="0"/>
            <w:vAlign w:val="center"/>
          </w:tcPr>
          <w:p w14:paraId="4EF290F2">
            <w:pPr>
              <w:jc w:val="center"/>
              <w:rPr>
                <w:rFonts w:hint="eastAsia" w:ascii="宋体" w:hAnsi="宋体" w:eastAsia="宋体" w:cs="宋体"/>
                <w:sz w:val="21"/>
                <w:szCs w:val="21"/>
              </w:rPr>
            </w:pPr>
            <w:r>
              <w:rPr>
                <w:rFonts w:hint="eastAsia" w:ascii="宋体" w:hAnsi="宋体" w:eastAsia="宋体" w:cs="宋体"/>
                <w:sz w:val="21"/>
                <w:szCs w:val="21"/>
              </w:rPr>
              <w:t>7802255</w:t>
            </w:r>
          </w:p>
        </w:tc>
        <w:tc>
          <w:tcPr>
            <w:tcW w:w="918" w:type="dxa"/>
            <w:shd w:val="clear" w:color="auto" w:fill="auto"/>
            <w:noWrap w:val="0"/>
            <w:vAlign w:val="center"/>
          </w:tcPr>
          <w:p w14:paraId="546E45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CD546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D7E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2029D9D2">
            <w:pPr>
              <w:jc w:val="center"/>
              <w:rPr>
                <w:rFonts w:hint="default" w:ascii="宋体" w:hAnsi="宋体" w:eastAsia="宋体" w:cs="宋体"/>
                <w:sz w:val="21"/>
                <w:szCs w:val="21"/>
                <w:lang w:val="en-US"/>
              </w:rPr>
            </w:pPr>
            <w:r>
              <w:rPr>
                <w:rFonts w:hint="eastAsia" w:ascii="宋体" w:hAnsi="宋体" w:cs="宋体"/>
                <w:sz w:val="21"/>
                <w:szCs w:val="21"/>
                <w:lang w:val="en-US" w:eastAsia="zh-CN"/>
              </w:rPr>
              <w:t>12</w:t>
            </w:r>
          </w:p>
        </w:tc>
        <w:tc>
          <w:tcPr>
            <w:tcW w:w="1519" w:type="dxa"/>
            <w:noWrap w:val="0"/>
            <w:vAlign w:val="center"/>
          </w:tcPr>
          <w:p w14:paraId="70657F6F">
            <w:pPr>
              <w:jc w:val="center"/>
              <w:rPr>
                <w:rFonts w:hint="eastAsia" w:ascii="宋体" w:hAnsi="宋体" w:eastAsia="宋体" w:cs="宋体"/>
                <w:sz w:val="21"/>
                <w:szCs w:val="21"/>
              </w:rPr>
            </w:pPr>
            <w:r>
              <w:rPr>
                <w:rFonts w:hint="eastAsia" w:ascii="宋体" w:hAnsi="宋体" w:eastAsia="宋体" w:cs="宋体"/>
                <w:sz w:val="21"/>
                <w:szCs w:val="21"/>
                <w:lang w:val="en-US" w:eastAsia="zh-CN"/>
              </w:rPr>
              <w:t>BF-260</w:t>
            </w:r>
          </w:p>
        </w:tc>
        <w:tc>
          <w:tcPr>
            <w:tcW w:w="2380" w:type="dxa"/>
            <w:noWrap w:val="0"/>
            <w:vAlign w:val="center"/>
          </w:tcPr>
          <w:p w14:paraId="33837D58">
            <w:pPr>
              <w:jc w:val="center"/>
              <w:rPr>
                <w:rFonts w:hint="eastAsia" w:ascii="宋体" w:hAnsi="宋体" w:eastAsia="宋体" w:cs="宋体"/>
                <w:sz w:val="21"/>
                <w:szCs w:val="21"/>
              </w:rPr>
            </w:pPr>
            <w:r>
              <w:rPr>
                <w:rFonts w:hint="eastAsia" w:ascii="宋体" w:hAnsi="宋体" w:eastAsia="宋体" w:cs="宋体"/>
                <w:sz w:val="21"/>
                <w:szCs w:val="21"/>
                <w:lang w:val="en-US" w:eastAsia="zh-CN"/>
              </w:rPr>
              <w:t>电子支气管镜</w:t>
            </w:r>
          </w:p>
        </w:tc>
        <w:tc>
          <w:tcPr>
            <w:tcW w:w="1466" w:type="dxa"/>
            <w:noWrap w:val="0"/>
            <w:vAlign w:val="center"/>
          </w:tcPr>
          <w:p w14:paraId="6ADA8411">
            <w:pPr>
              <w:jc w:val="center"/>
              <w:rPr>
                <w:rFonts w:hint="eastAsia" w:ascii="宋体" w:hAnsi="宋体" w:eastAsia="宋体" w:cs="宋体"/>
                <w:sz w:val="21"/>
                <w:szCs w:val="21"/>
              </w:rPr>
            </w:pPr>
            <w:r>
              <w:rPr>
                <w:rFonts w:hint="eastAsia" w:ascii="宋体" w:hAnsi="宋体" w:eastAsia="宋体" w:cs="宋体"/>
                <w:sz w:val="21"/>
                <w:szCs w:val="21"/>
                <w:lang w:val="en-US" w:eastAsia="zh-CN"/>
              </w:rPr>
              <w:t>1500697</w:t>
            </w:r>
          </w:p>
        </w:tc>
        <w:tc>
          <w:tcPr>
            <w:tcW w:w="918" w:type="dxa"/>
            <w:shd w:val="clear" w:color="auto" w:fill="auto"/>
            <w:noWrap w:val="0"/>
            <w:vAlign w:val="center"/>
          </w:tcPr>
          <w:p w14:paraId="576527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2DD0B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3D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6E7B29E">
            <w:pPr>
              <w:jc w:val="center"/>
              <w:rPr>
                <w:rFonts w:hint="default" w:ascii="宋体" w:hAnsi="宋体" w:eastAsia="宋体" w:cs="宋体"/>
                <w:sz w:val="21"/>
                <w:szCs w:val="21"/>
                <w:lang w:val="en-US"/>
              </w:rPr>
            </w:pPr>
            <w:r>
              <w:rPr>
                <w:rFonts w:hint="eastAsia" w:ascii="宋体" w:hAnsi="宋体" w:cs="宋体"/>
                <w:sz w:val="21"/>
                <w:szCs w:val="21"/>
                <w:lang w:val="en-US" w:eastAsia="zh-CN"/>
              </w:rPr>
              <w:t>13</w:t>
            </w:r>
          </w:p>
        </w:tc>
        <w:tc>
          <w:tcPr>
            <w:tcW w:w="1519" w:type="dxa"/>
            <w:noWrap w:val="0"/>
            <w:vAlign w:val="center"/>
          </w:tcPr>
          <w:p w14:paraId="2B25E801">
            <w:pPr>
              <w:jc w:val="center"/>
              <w:rPr>
                <w:rFonts w:hint="eastAsia" w:ascii="宋体" w:hAnsi="宋体" w:eastAsia="宋体" w:cs="宋体"/>
                <w:sz w:val="21"/>
                <w:szCs w:val="21"/>
              </w:rPr>
            </w:pPr>
            <w:r>
              <w:rPr>
                <w:rFonts w:hint="eastAsia" w:ascii="宋体" w:hAnsi="宋体" w:eastAsia="宋体" w:cs="宋体"/>
                <w:sz w:val="21"/>
                <w:szCs w:val="21"/>
                <w:lang w:val="en-US" w:eastAsia="zh-CN"/>
              </w:rPr>
              <w:t>CV-290</w:t>
            </w:r>
          </w:p>
        </w:tc>
        <w:tc>
          <w:tcPr>
            <w:tcW w:w="2380" w:type="dxa"/>
            <w:noWrap w:val="0"/>
            <w:vAlign w:val="center"/>
          </w:tcPr>
          <w:p w14:paraId="42DA0505">
            <w:pPr>
              <w:jc w:val="center"/>
              <w:rPr>
                <w:rFonts w:hint="eastAsia" w:ascii="宋体" w:hAnsi="宋体" w:eastAsia="宋体" w:cs="宋体"/>
                <w:sz w:val="21"/>
                <w:szCs w:val="21"/>
              </w:rPr>
            </w:pPr>
            <w:r>
              <w:rPr>
                <w:rFonts w:hint="eastAsia" w:ascii="宋体" w:hAnsi="宋体" w:eastAsia="宋体" w:cs="宋体"/>
                <w:sz w:val="21"/>
                <w:szCs w:val="21"/>
                <w:lang w:val="en-US" w:eastAsia="zh-CN"/>
              </w:rPr>
              <w:t>图像处理装置</w:t>
            </w:r>
          </w:p>
        </w:tc>
        <w:tc>
          <w:tcPr>
            <w:tcW w:w="1466" w:type="dxa"/>
            <w:noWrap w:val="0"/>
            <w:vAlign w:val="center"/>
          </w:tcPr>
          <w:p w14:paraId="05F55F45">
            <w:pPr>
              <w:jc w:val="center"/>
              <w:rPr>
                <w:rFonts w:hint="eastAsia" w:ascii="宋体" w:hAnsi="宋体" w:eastAsia="宋体" w:cs="宋体"/>
                <w:sz w:val="21"/>
                <w:szCs w:val="21"/>
              </w:rPr>
            </w:pPr>
            <w:r>
              <w:rPr>
                <w:rFonts w:hint="eastAsia" w:ascii="宋体" w:hAnsi="宋体" w:eastAsia="宋体" w:cs="宋体"/>
                <w:sz w:val="21"/>
                <w:szCs w:val="21"/>
                <w:lang w:val="en-US" w:eastAsia="zh-CN"/>
              </w:rPr>
              <w:t>7040360</w:t>
            </w:r>
          </w:p>
        </w:tc>
        <w:tc>
          <w:tcPr>
            <w:tcW w:w="918" w:type="dxa"/>
            <w:shd w:val="clear" w:color="auto" w:fill="auto"/>
            <w:noWrap w:val="0"/>
            <w:vAlign w:val="center"/>
          </w:tcPr>
          <w:p w14:paraId="00826B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7FAF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A6B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2F98400A">
            <w:pPr>
              <w:jc w:val="center"/>
              <w:rPr>
                <w:rFonts w:hint="default" w:ascii="宋体" w:hAnsi="宋体" w:eastAsia="宋体" w:cs="宋体"/>
                <w:sz w:val="21"/>
                <w:szCs w:val="21"/>
                <w:lang w:val="en-US"/>
              </w:rPr>
            </w:pPr>
            <w:r>
              <w:rPr>
                <w:rFonts w:hint="eastAsia" w:ascii="宋体" w:hAnsi="宋体" w:cs="宋体"/>
                <w:sz w:val="21"/>
                <w:szCs w:val="21"/>
                <w:lang w:val="en-US" w:eastAsia="zh-CN"/>
              </w:rPr>
              <w:t>14</w:t>
            </w:r>
          </w:p>
        </w:tc>
        <w:tc>
          <w:tcPr>
            <w:tcW w:w="1519" w:type="dxa"/>
            <w:noWrap w:val="0"/>
            <w:vAlign w:val="center"/>
          </w:tcPr>
          <w:p w14:paraId="557BD0F5">
            <w:pPr>
              <w:jc w:val="center"/>
              <w:rPr>
                <w:rFonts w:hint="eastAsia" w:ascii="宋体" w:hAnsi="宋体" w:eastAsia="宋体" w:cs="宋体"/>
                <w:sz w:val="21"/>
                <w:szCs w:val="21"/>
              </w:rPr>
            </w:pPr>
            <w:r>
              <w:rPr>
                <w:rFonts w:hint="eastAsia" w:ascii="宋体" w:hAnsi="宋体" w:eastAsia="宋体" w:cs="宋体"/>
                <w:sz w:val="21"/>
                <w:szCs w:val="21"/>
                <w:lang w:val="en-US" w:eastAsia="zh-CN"/>
              </w:rPr>
              <w:t>CLV-290SL</w:t>
            </w:r>
          </w:p>
        </w:tc>
        <w:tc>
          <w:tcPr>
            <w:tcW w:w="2380" w:type="dxa"/>
            <w:noWrap w:val="0"/>
            <w:vAlign w:val="center"/>
          </w:tcPr>
          <w:p w14:paraId="25234E43">
            <w:pPr>
              <w:jc w:val="center"/>
              <w:rPr>
                <w:rFonts w:hint="eastAsia" w:ascii="宋体" w:hAnsi="宋体" w:eastAsia="宋体" w:cs="宋体"/>
                <w:sz w:val="21"/>
                <w:szCs w:val="21"/>
              </w:rPr>
            </w:pPr>
            <w:r>
              <w:rPr>
                <w:rFonts w:hint="eastAsia" w:ascii="宋体" w:hAnsi="宋体" w:eastAsia="宋体" w:cs="宋体"/>
                <w:sz w:val="21"/>
                <w:szCs w:val="21"/>
                <w:lang w:val="en-US" w:eastAsia="zh-CN"/>
              </w:rPr>
              <w:t>内窥镜冷光源</w:t>
            </w:r>
          </w:p>
        </w:tc>
        <w:tc>
          <w:tcPr>
            <w:tcW w:w="1466" w:type="dxa"/>
            <w:noWrap w:val="0"/>
            <w:vAlign w:val="center"/>
          </w:tcPr>
          <w:p w14:paraId="0D7D3BE4">
            <w:pPr>
              <w:jc w:val="center"/>
              <w:rPr>
                <w:rFonts w:hint="eastAsia" w:ascii="宋体" w:hAnsi="宋体" w:eastAsia="宋体" w:cs="宋体"/>
                <w:sz w:val="21"/>
                <w:szCs w:val="21"/>
              </w:rPr>
            </w:pPr>
            <w:r>
              <w:rPr>
                <w:rFonts w:hint="eastAsia" w:ascii="宋体" w:hAnsi="宋体" w:eastAsia="宋体" w:cs="宋体"/>
                <w:sz w:val="21"/>
                <w:szCs w:val="21"/>
                <w:lang w:val="en-US" w:eastAsia="zh-CN"/>
              </w:rPr>
              <w:t>7036712</w:t>
            </w:r>
          </w:p>
        </w:tc>
        <w:tc>
          <w:tcPr>
            <w:tcW w:w="918" w:type="dxa"/>
            <w:shd w:val="clear" w:color="auto" w:fill="auto"/>
            <w:noWrap w:val="0"/>
            <w:vAlign w:val="center"/>
          </w:tcPr>
          <w:p w14:paraId="4C485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759DB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507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23625C6">
            <w:pPr>
              <w:jc w:val="center"/>
              <w:rPr>
                <w:rFonts w:hint="default" w:ascii="宋体" w:hAnsi="宋体" w:eastAsia="宋体" w:cs="宋体"/>
                <w:sz w:val="21"/>
                <w:szCs w:val="21"/>
                <w:lang w:val="en-US"/>
              </w:rPr>
            </w:pPr>
            <w:r>
              <w:rPr>
                <w:rFonts w:hint="eastAsia" w:ascii="宋体" w:hAnsi="宋体" w:cs="宋体"/>
                <w:sz w:val="21"/>
                <w:szCs w:val="21"/>
                <w:lang w:val="en-US" w:eastAsia="zh-CN"/>
              </w:rPr>
              <w:t>15</w:t>
            </w:r>
          </w:p>
        </w:tc>
        <w:tc>
          <w:tcPr>
            <w:tcW w:w="1519" w:type="dxa"/>
            <w:noWrap w:val="0"/>
            <w:vAlign w:val="center"/>
          </w:tcPr>
          <w:p w14:paraId="1686C77F">
            <w:pPr>
              <w:jc w:val="center"/>
              <w:rPr>
                <w:rFonts w:hint="eastAsia" w:ascii="宋体" w:hAnsi="宋体" w:eastAsia="宋体" w:cs="宋体"/>
                <w:sz w:val="21"/>
                <w:szCs w:val="21"/>
              </w:rPr>
            </w:pPr>
            <w:r>
              <w:rPr>
                <w:rFonts w:hint="eastAsia" w:ascii="宋体" w:hAnsi="宋体" w:eastAsia="宋体" w:cs="宋体"/>
                <w:sz w:val="21"/>
                <w:szCs w:val="21"/>
                <w:lang w:val="en-US" w:eastAsia="zh-CN"/>
              </w:rPr>
              <w:t>OEV262H</w:t>
            </w:r>
          </w:p>
        </w:tc>
        <w:tc>
          <w:tcPr>
            <w:tcW w:w="2380" w:type="dxa"/>
            <w:noWrap w:val="0"/>
            <w:vAlign w:val="center"/>
          </w:tcPr>
          <w:p w14:paraId="0144EEC3">
            <w:pPr>
              <w:jc w:val="center"/>
              <w:rPr>
                <w:rFonts w:hint="eastAsia" w:ascii="宋体" w:hAnsi="宋体" w:eastAsia="宋体" w:cs="宋体"/>
                <w:sz w:val="21"/>
                <w:szCs w:val="21"/>
              </w:rPr>
            </w:pPr>
            <w:r>
              <w:rPr>
                <w:rFonts w:hint="eastAsia" w:ascii="宋体" w:hAnsi="宋体" w:eastAsia="宋体" w:cs="宋体"/>
                <w:sz w:val="21"/>
                <w:szCs w:val="21"/>
                <w:lang w:val="en-US" w:eastAsia="zh-CN"/>
              </w:rPr>
              <w:t>高清晰度液晶监视器</w:t>
            </w:r>
          </w:p>
        </w:tc>
        <w:tc>
          <w:tcPr>
            <w:tcW w:w="1466" w:type="dxa"/>
            <w:noWrap w:val="0"/>
            <w:vAlign w:val="center"/>
          </w:tcPr>
          <w:p w14:paraId="39F034E1">
            <w:pPr>
              <w:jc w:val="center"/>
              <w:rPr>
                <w:rFonts w:hint="eastAsia" w:ascii="宋体" w:hAnsi="宋体" w:eastAsia="宋体" w:cs="宋体"/>
                <w:sz w:val="21"/>
                <w:szCs w:val="21"/>
              </w:rPr>
            </w:pPr>
            <w:r>
              <w:rPr>
                <w:rFonts w:hint="eastAsia" w:ascii="宋体" w:hAnsi="宋体" w:eastAsia="宋体" w:cs="宋体"/>
                <w:sz w:val="21"/>
                <w:szCs w:val="21"/>
                <w:lang w:val="en-US" w:eastAsia="zh-CN"/>
              </w:rPr>
              <w:t>7091001</w:t>
            </w:r>
          </w:p>
        </w:tc>
        <w:tc>
          <w:tcPr>
            <w:tcW w:w="918" w:type="dxa"/>
            <w:shd w:val="clear" w:color="auto" w:fill="auto"/>
            <w:noWrap w:val="0"/>
            <w:vAlign w:val="center"/>
          </w:tcPr>
          <w:p w14:paraId="0E104F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99A4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bl>
    <w:p w14:paraId="582EBD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33AD">
    <w:pPr>
      <w:pStyle w:val="5"/>
      <w:tabs>
        <w:tab w:val="center" w:pos="4320"/>
        <w:tab w:val="right" w:pos="8640"/>
        <w:tab w:val="clear" w:pos="4153"/>
        <w:tab w:val="clear" w:pos="8306"/>
      </w:tabs>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21ACE84">
                          <w:pPr>
                            <w:pStyle w:val="5"/>
                            <w:tabs>
                              <w:tab w:val="center" w:pos="4320"/>
                              <w:tab w:val="right" w:pos="864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421ACE84">
                    <w:pPr>
                      <w:pStyle w:val="5"/>
                      <w:tabs>
                        <w:tab w:val="center" w:pos="4320"/>
                        <w:tab w:val="right" w:pos="864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C700">
    <w:pPr>
      <w:pStyle w:val="6"/>
      <w:pBdr>
        <w:bottom w:val="none" w:color="auto" w:sz="0" w:space="1"/>
      </w:pBdr>
      <w:jc w:val="distribut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63EC3"/>
    <w:multiLevelType w:val="singleLevel"/>
    <w:tmpl w:val="17E63E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B2BD3"/>
    <w:rsid w:val="006E4A62"/>
    <w:rsid w:val="00A62369"/>
    <w:rsid w:val="011863EE"/>
    <w:rsid w:val="015B6D94"/>
    <w:rsid w:val="0236335D"/>
    <w:rsid w:val="02954528"/>
    <w:rsid w:val="03BB6210"/>
    <w:rsid w:val="03E72B61"/>
    <w:rsid w:val="043639B7"/>
    <w:rsid w:val="047649DE"/>
    <w:rsid w:val="04B87362"/>
    <w:rsid w:val="059C797B"/>
    <w:rsid w:val="05AE4721"/>
    <w:rsid w:val="05E337FC"/>
    <w:rsid w:val="060379FA"/>
    <w:rsid w:val="069468A4"/>
    <w:rsid w:val="07B90CB8"/>
    <w:rsid w:val="08233672"/>
    <w:rsid w:val="08410120"/>
    <w:rsid w:val="08646E76"/>
    <w:rsid w:val="0A5B7E05"/>
    <w:rsid w:val="0B4F0CEA"/>
    <w:rsid w:val="0BDE6F3F"/>
    <w:rsid w:val="0BE5207C"/>
    <w:rsid w:val="0C803B53"/>
    <w:rsid w:val="0CD81BE1"/>
    <w:rsid w:val="0D1D75F3"/>
    <w:rsid w:val="0D6276FC"/>
    <w:rsid w:val="0DA675E9"/>
    <w:rsid w:val="0DC25334"/>
    <w:rsid w:val="0E012A71"/>
    <w:rsid w:val="0E0D7668"/>
    <w:rsid w:val="0EE83C31"/>
    <w:rsid w:val="10264A11"/>
    <w:rsid w:val="106D2640"/>
    <w:rsid w:val="11963E18"/>
    <w:rsid w:val="11BB554E"/>
    <w:rsid w:val="12273E8C"/>
    <w:rsid w:val="122A4C8C"/>
    <w:rsid w:val="129272BC"/>
    <w:rsid w:val="14A10B0A"/>
    <w:rsid w:val="14BF7020"/>
    <w:rsid w:val="155041B0"/>
    <w:rsid w:val="157F52EF"/>
    <w:rsid w:val="1668673A"/>
    <w:rsid w:val="170369D9"/>
    <w:rsid w:val="17F51899"/>
    <w:rsid w:val="18027B0E"/>
    <w:rsid w:val="188224E9"/>
    <w:rsid w:val="19520625"/>
    <w:rsid w:val="1A3146DE"/>
    <w:rsid w:val="1AB71087"/>
    <w:rsid w:val="1ACF1846"/>
    <w:rsid w:val="1BB67591"/>
    <w:rsid w:val="1BB824B6"/>
    <w:rsid w:val="1D6372A4"/>
    <w:rsid w:val="1DEA3522"/>
    <w:rsid w:val="1E1862E1"/>
    <w:rsid w:val="1F745799"/>
    <w:rsid w:val="1FBB33C8"/>
    <w:rsid w:val="1FCB1131"/>
    <w:rsid w:val="201E74B3"/>
    <w:rsid w:val="21141C1A"/>
    <w:rsid w:val="21696E53"/>
    <w:rsid w:val="227F78B3"/>
    <w:rsid w:val="23290648"/>
    <w:rsid w:val="26522F08"/>
    <w:rsid w:val="27C5542E"/>
    <w:rsid w:val="28BA7F95"/>
    <w:rsid w:val="29FF7627"/>
    <w:rsid w:val="2A621B97"/>
    <w:rsid w:val="2B807316"/>
    <w:rsid w:val="2BFF63EA"/>
    <w:rsid w:val="2C351E0C"/>
    <w:rsid w:val="2DF34BF7"/>
    <w:rsid w:val="2EC92CDF"/>
    <w:rsid w:val="2F230642"/>
    <w:rsid w:val="2FA21EAE"/>
    <w:rsid w:val="3014442E"/>
    <w:rsid w:val="30696528"/>
    <w:rsid w:val="317476ED"/>
    <w:rsid w:val="317909ED"/>
    <w:rsid w:val="3186135C"/>
    <w:rsid w:val="32D87995"/>
    <w:rsid w:val="336631F3"/>
    <w:rsid w:val="36006737"/>
    <w:rsid w:val="36714543"/>
    <w:rsid w:val="36B35215"/>
    <w:rsid w:val="36E45BE0"/>
    <w:rsid w:val="373F4487"/>
    <w:rsid w:val="37F103AB"/>
    <w:rsid w:val="38451629"/>
    <w:rsid w:val="392576AC"/>
    <w:rsid w:val="39643D30"/>
    <w:rsid w:val="398B6032"/>
    <w:rsid w:val="3A157721"/>
    <w:rsid w:val="3A797CAF"/>
    <w:rsid w:val="3B8D358C"/>
    <w:rsid w:val="3B911029"/>
    <w:rsid w:val="3B912DD7"/>
    <w:rsid w:val="3C447E49"/>
    <w:rsid w:val="3D605157"/>
    <w:rsid w:val="3DE96EFA"/>
    <w:rsid w:val="3E5500EC"/>
    <w:rsid w:val="3EDE27D7"/>
    <w:rsid w:val="43D85A47"/>
    <w:rsid w:val="44BA6EFA"/>
    <w:rsid w:val="44D22496"/>
    <w:rsid w:val="48360F8E"/>
    <w:rsid w:val="4AC705C3"/>
    <w:rsid w:val="4BBE19C6"/>
    <w:rsid w:val="4C431ECB"/>
    <w:rsid w:val="4D186EB4"/>
    <w:rsid w:val="4E984750"/>
    <w:rsid w:val="4ED268AA"/>
    <w:rsid w:val="4F361873"/>
    <w:rsid w:val="4FE35B43"/>
    <w:rsid w:val="525F3958"/>
    <w:rsid w:val="52E37F64"/>
    <w:rsid w:val="541D74A6"/>
    <w:rsid w:val="544D7D8B"/>
    <w:rsid w:val="55A27C63"/>
    <w:rsid w:val="55E4027B"/>
    <w:rsid w:val="569F572B"/>
    <w:rsid w:val="56E30533"/>
    <w:rsid w:val="591744C4"/>
    <w:rsid w:val="5A2055FA"/>
    <w:rsid w:val="5A627595"/>
    <w:rsid w:val="5A8262B5"/>
    <w:rsid w:val="5A93401E"/>
    <w:rsid w:val="5C902DE5"/>
    <w:rsid w:val="5FFF5CB2"/>
    <w:rsid w:val="60157938"/>
    <w:rsid w:val="606A75CF"/>
    <w:rsid w:val="612E72BF"/>
    <w:rsid w:val="61447E20"/>
    <w:rsid w:val="61B56F70"/>
    <w:rsid w:val="61D66893"/>
    <w:rsid w:val="648219AD"/>
    <w:rsid w:val="65041398"/>
    <w:rsid w:val="655B1BDC"/>
    <w:rsid w:val="65D35C16"/>
    <w:rsid w:val="661D5DA5"/>
    <w:rsid w:val="66613222"/>
    <w:rsid w:val="66FB4829"/>
    <w:rsid w:val="684E5A14"/>
    <w:rsid w:val="686B4ECE"/>
    <w:rsid w:val="689679D2"/>
    <w:rsid w:val="68CF43EA"/>
    <w:rsid w:val="698A2F5D"/>
    <w:rsid w:val="69DC0241"/>
    <w:rsid w:val="69EE1271"/>
    <w:rsid w:val="6AE83F12"/>
    <w:rsid w:val="6BD149A6"/>
    <w:rsid w:val="6C1338EE"/>
    <w:rsid w:val="6C615D2A"/>
    <w:rsid w:val="6DB14A8F"/>
    <w:rsid w:val="6F0532E4"/>
    <w:rsid w:val="700219E0"/>
    <w:rsid w:val="703674CE"/>
    <w:rsid w:val="706A1AA4"/>
    <w:rsid w:val="70AA78F9"/>
    <w:rsid w:val="70D74660"/>
    <w:rsid w:val="70DF7B65"/>
    <w:rsid w:val="711C6362"/>
    <w:rsid w:val="712C417C"/>
    <w:rsid w:val="72B03567"/>
    <w:rsid w:val="73FB2BD3"/>
    <w:rsid w:val="746740F9"/>
    <w:rsid w:val="747904D1"/>
    <w:rsid w:val="75713487"/>
    <w:rsid w:val="758807CB"/>
    <w:rsid w:val="760C0EA2"/>
    <w:rsid w:val="76224C10"/>
    <w:rsid w:val="764D2AF5"/>
    <w:rsid w:val="76755608"/>
    <w:rsid w:val="76F459ED"/>
    <w:rsid w:val="77D637C2"/>
    <w:rsid w:val="78FD6DDA"/>
    <w:rsid w:val="78FF40CD"/>
    <w:rsid w:val="79B24069"/>
    <w:rsid w:val="7CCB7772"/>
    <w:rsid w:val="7D9121E7"/>
    <w:rsid w:val="7E5F4093"/>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pPr>
      <w:spacing w:after="120"/>
    </w:pPr>
  </w:style>
  <w:style w:type="paragraph" w:styleId="4">
    <w:name w:val="Plain Text"/>
    <w:basedOn w:val="1"/>
    <w:next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basedOn w:val="9"/>
    <w:qFormat/>
    <w:uiPriority w:val="0"/>
    <w:rPr>
      <w:rFonts w:hint="eastAsia" w:ascii="宋体" w:hAnsi="宋体" w:eastAsia="宋体" w:cs="宋体"/>
      <w:color w:val="000000"/>
      <w:sz w:val="21"/>
      <w:szCs w:val="21"/>
      <w:u w:val="none"/>
    </w:rPr>
  </w:style>
  <w:style w:type="character" w:customStyle="1" w:styleId="11">
    <w:name w:val="font81"/>
    <w:basedOn w:val="9"/>
    <w:qFormat/>
    <w:uiPriority w:val="0"/>
    <w:rPr>
      <w:rFonts w:hint="default" w:ascii="Times New Roman" w:hAnsi="Times New Roman" w:cs="Times New Roman"/>
      <w:color w:val="000000"/>
      <w:sz w:val="21"/>
      <w:szCs w:val="21"/>
      <w:u w:val="none"/>
    </w:rPr>
  </w:style>
  <w:style w:type="paragraph" w:customStyle="1" w:styleId="1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5524</Words>
  <Characters>6457</Characters>
  <Lines>0</Lines>
  <Paragraphs>0</Paragraphs>
  <TotalTime>0</TotalTime>
  <ScaleCrop>false</ScaleCrop>
  <LinksUpToDate>false</LinksUpToDate>
  <CharactersWithSpaces>6605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2025-12-07T11:08:00Z</dcterms:created>
  <dc:creator>韦巧倩</dc:creator>
  <cp:lastModifiedBy>韦巧倩</cp:lastModifiedBy>
  <dcterms:modified xsi:type="dcterms:W3CDTF">2026-01-14T01:51:32Z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690B0D7F655248F99B185AA665AFA5BD_11</vt:lpwstr>
  </property>
  <property fmtid="{D5CDD505-2E9C-101B-9397-08002B2CF9AE}" pid="4" name="KSOTemplateDocerSaveRecord">
    <vt:lpwstr>eyJoZGlkIjoiZDM3ZmUyYzg4YTk2Mjc1ZTE2ZjQ5NTlhNzJjMjE4MTQiLCJ1c2VySWQiOiI0NTg2MTU1MjIifQ==</vt:lpwstr>
  </property>
</Properties>
</file>