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912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</w:t>
      </w:r>
      <w:r>
        <w:rPr>
          <w:rFonts w:ascii="仿宋" w:hAnsi="仿宋" w:eastAsia="仿宋" w:cs="仿宋"/>
          <w:b/>
          <w:sz w:val="60"/>
          <w:szCs w:val="56"/>
          <w:lang w:val="zh-CN"/>
        </w:rPr>
        <w:t>第</w:t>
      </w:r>
      <w:r>
        <w:rPr>
          <w:rFonts w:hint="eastAsia" w:ascii="仿宋" w:hAnsi="仿宋" w:eastAsia="仿宋" w:cs="仿宋"/>
          <w:b/>
          <w:sz w:val="60"/>
          <w:szCs w:val="56"/>
          <w:lang w:val="en-US" w:eastAsia="zh-CN"/>
        </w:rPr>
        <w:t>二</w:t>
      </w:r>
      <w:r>
        <w:rPr>
          <w:rFonts w:ascii="仿宋" w:hAnsi="仿宋" w:eastAsia="仿宋" w:cs="仿宋"/>
          <w:b/>
          <w:sz w:val="60"/>
          <w:szCs w:val="56"/>
          <w:lang w:val="zh-CN"/>
        </w:rPr>
        <w:t>附属医院</w:t>
      </w:r>
    </w:p>
    <w:p w14:paraId="5BAB5B41">
      <w:pPr>
        <w:autoSpaceDE w:val="0"/>
        <w:autoSpaceDN w:val="0"/>
        <w:adjustRightInd w:val="0"/>
        <w:snapToGrid w:val="0"/>
        <w:rPr>
          <w:rFonts w:hint="eastAsia" w:ascii="宋体"/>
          <w:sz w:val="56"/>
          <w:szCs w:val="56"/>
          <w:lang w:val="zh-CN"/>
        </w:rPr>
      </w:pPr>
    </w:p>
    <w:p w14:paraId="07BF4751">
      <w:pPr>
        <w:pStyle w:val="5"/>
        <w:ind w:left="1168" w:hanging="1168"/>
        <w:rPr>
          <w:rFonts w:ascii="宋体"/>
          <w:sz w:val="56"/>
          <w:szCs w:val="56"/>
          <w:lang w:val="zh-CN"/>
        </w:rPr>
      </w:pPr>
    </w:p>
    <w:p w14:paraId="1AC982D1">
      <w:pPr>
        <w:pStyle w:val="5"/>
        <w:ind w:left="199" w:hanging="198" w:hangingChars="34"/>
        <w:rPr>
          <w:rFonts w:hint="eastAsia" w:ascii="宋体"/>
          <w:sz w:val="56"/>
          <w:szCs w:val="56"/>
          <w:lang w:val="zh-CN"/>
        </w:rPr>
      </w:pPr>
    </w:p>
    <w:p w14:paraId="0FA1D2BB">
      <w:pPr>
        <w:autoSpaceDE w:val="0"/>
        <w:autoSpaceDN w:val="0"/>
        <w:adjustRightInd w:val="0"/>
        <w:snapToGrid w:val="0"/>
        <w:jc w:val="center"/>
        <w:rPr>
          <w:rFonts w:ascii="宋体"/>
          <w:sz w:val="56"/>
          <w:szCs w:val="56"/>
          <w:lang w:val="zh-CN"/>
        </w:rPr>
      </w:pPr>
    </w:p>
    <w:p w14:paraId="4E8455F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20F9A0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4804FA4C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342666E4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0E65FE13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1DB827A1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5B9CCDA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27A696E7">
      <w:pPr>
        <w:pStyle w:val="5"/>
        <w:ind w:left="1168" w:hanging="1168"/>
        <w:rPr>
          <w:sz w:val="56"/>
          <w:szCs w:val="56"/>
          <w:lang w:val="zh-CN"/>
        </w:rPr>
      </w:pPr>
    </w:p>
    <w:p w14:paraId="06311305">
      <w:pPr>
        <w:pStyle w:val="5"/>
        <w:ind w:left="1168" w:hanging="1168"/>
        <w:rPr>
          <w:sz w:val="56"/>
          <w:szCs w:val="56"/>
          <w:lang w:val="zh-CN"/>
        </w:rPr>
      </w:pPr>
    </w:p>
    <w:p w14:paraId="179C0AD1">
      <w:pPr>
        <w:pStyle w:val="5"/>
        <w:ind w:left="1168" w:hanging="1168"/>
        <w:rPr>
          <w:sz w:val="56"/>
          <w:szCs w:val="56"/>
          <w:lang w:val="zh-CN"/>
        </w:rPr>
      </w:pPr>
    </w:p>
    <w:p w14:paraId="3B21CE13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  <w:r>
        <w:rPr>
          <w:rFonts w:hint="eastAsia" w:ascii="宋体"/>
          <w:sz w:val="40"/>
          <w:szCs w:val="56"/>
          <w:lang w:val="zh-CN"/>
        </w:rPr>
        <w:t>项目名称：</w:t>
      </w:r>
      <w:r>
        <w:rPr>
          <w:rFonts w:hint="eastAsia" w:ascii="宋体"/>
          <w:sz w:val="40"/>
          <w:szCs w:val="56"/>
          <w:lang w:val="en-US" w:eastAsia="zh-CN"/>
        </w:rPr>
        <w:t>新建急诊创伤中心工程</w:t>
      </w:r>
    </w:p>
    <w:p w14:paraId="4CAE5A6C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</w:p>
    <w:p w14:paraId="2EB81A36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</w:p>
    <w:p w14:paraId="5A7753FE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</w:p>
    <w:p w14:paraId="1CD26E76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/>
          <w:sz w:val="40"/>
          <w:szCs w:val="56"/>
          <w:lang w:val="zh-CN"/>
        </w:rPr>
      </w:pPr>
    </w:p>
    <w:p w14:paraId="45AEBFD8">
      <w:pPr>
        <w:pStyle w:val="2"/>
        <w:rPr>
          <w:rFonts w:hint="eastAsia"/>
          <w:lang w:val="zh-CN"/>
        </w:rPr>
      </w:pPr>
    </w:p>
    <w:p w14:paraId="30C5B405">
      <w:pPr>
        <w:autoSpaceDE w:val="0"/>
        <w:autoSpaceDN w:val="0"/>
        <w:adjustRightInd w:val="0"/>
        <w:snapToGrid w:val="0"/>
        <w:spacing w:line="360" w:lineRule="auto"/>
        <w:ind w:left="2000" w:hanging="2209" w:hangingChars="500"/>
        <w:jc w:val="center"/>
        <w:rPr>
          <w:rFonts w:hint="default" w:ascii="宋体"/>
          <w:b/>
          <w:sz w:val="44"/>
          <w:szCs w:val="56"/>
          <w:lang w:val="en-US"/>
        </w:rPr>
      </w:pPr>
      <w:r>
        <w:rPr>
          <w:rFonts w:hint="eastAsia" w:ascii="宋体"/>
          <w:b/>
          <w:sz w:val="44"/>
          <w:szCs w:val="56"/>
          <w:lang w:val="en-US" w:eastAsia="zh-CN"/>
        </w:rPr>
        <w:t>调研函</w:t>
      </w:r>
    </w:p>
    <w:p w14:paraId="48B5635B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  <w:lang w:val="zh-CN"/>
        </w:rPr>
      </w:pPr>
    </w:p>
    <w:p w14:paraId="7F59475B"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根据有关法律法规及医院相关制度规定, 组织本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调研。</w:t>
      </w:r>
    </w:p>
    <w:p w14:paraId="5E250DD1">
      <w:pPr>
        <w:autoSpaceDE w:val="0"/>
        <w:autoSpaceDN w:val="0"/>
        <w:adjustRightInd w:val="0"/>
        <w:snapToGrid w:val="0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一、项目概况</w:t>
      </w:r>
    </w:p>
    <w:tbl>
      <w:tblPr>
        <w:tblStyle w:val="6"/>
        <w:tblW w:w="4880" w:type="pc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239"/>
        <w:gridCol w:w="3092"/>
      </w:tblGrid>
      <w:tr w14:paraId="20AB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DD3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9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A58F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18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2985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工期要求</w:t>
            </w:r>
          </w:p>
        </w:tc>
      </w:tr>
      <w:tr w14:paraId="1807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ED85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新建急诊创伤中心工程</w:t>
            </w:r>
          </w:p>
        </w:tc>
        <w:tc>
          <w:tcPr>
            <w:tcW w:w="1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4AE3D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：南宁市大学东路166号，医院院区内。</w:t>
            </w:r>
          </w:p>
          <w:p w14:paraId="3CF68497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6CD79F2">
            <w:pPr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：1号楼输液区旁新建一层急诊创伤中心，涉及建筑工程、装饰装修工程、电气工程、给排水工程、暖通工程、医疗特殊装修等</w:t>
            </w:r>
          </w:p>
        </w:tc>
        <w:tc>
          <w:tcPr>
            <w:tcW w:w="18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C2EE9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从书面签发开工令之日算起150个日历天。</w:t>
            </w:r>
          </w:p>
          <w:p w14:paraId="36662438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9EB0BB5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工程需达到国家施工验收合格标准，质量保修期2年防水5年。</w:t>
            </w:r>
          </w:p>
        </w:tc>
      </w:tr>
    </w:tbl>
    <w:p w14:paraId="691B5D3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本项调研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不组织踏勘现场，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报名响应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均视作对项目的了解已完全满足需要。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最终是否进行商谈或采购视调研响应实际及医院采购制度要求为准。</w:t>
      </w:r>
    </w:p>
    <w:p w14:paraId="611CF12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二、资格要求</w:t>
      </w:r>
    </w:p>
    <w:p w14:paraId="73AE1FFD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）在“信用中国”网站、中国政府采购网等渠道列入失信被执行人、重大税收违法案件当事人名单、政府采购严重违法失信行为记录名单及其他不符合《中华人民共和国政府采购法》第二十二条规定条件的供应商，不得参与本次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调研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活动。</w:t>
      </w:r>
    </w:p>
    <w:p w14:paraId="267077FE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响应需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具有国内独立法人资格，具备建筑工程施工总承包叁级以上资质（含叁级），具有有效的安全生产许可证，近三年无发生诉讼及仲裁。</w:t>
      </w:r>
    </w:p>
    <w:p w14:paraId="0E98DABC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）不接受联合体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响应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。</w:t>
      </w:r>
    </w:p>
    <w:p w14:paraId="5780D10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在参加医院采购活动中存在下列行为之一的，属于失信行为，列入失信管理名单：</w:t>
      </w:r>
    </w:p>
    <w:p w14:paraId="47C45771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1.提供虚假证明材料谋取成交的；</w:t>
      </w:r>
    </w:p>
    <w:p w14:paraId="5E720D70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2.向医院采购活动相关人员行贿或者提供其他不正当利益的；</w:t>
      </w:r>
    </w:p>
    <w:p w14:paraId="282E5CCF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3.有恶意围标、串标行为的；</w:t>
      </w:r>
    </w:p>
    <w:p w14:paraId="54CDC519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4.不遵守医院采购活动纪律，扰乱秩序且不听劝阻的；</w:t>
      </w:r>
    </w:p>
    <w:p w14:paraId="3E630EC8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5.报价明显低于其他通过符合性审查供应商的报价或低于控制价30%以上，有可能影响产品质量或导致不能诚信履约风险的，应当在规定的时间内提供书面说明，必要时提交相关产品供货证明材料，不能证明其报价合理性的当作无效响应处理；</w:t>
      </w:r>
    </w:p>
    <w:p w14:paraId="4D2E812C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6.经医院认定的其他失信行为。</w:t>
      </w:r>
    </w:p>
    <w:p w14:paraId="2F5D7CB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  <w:lang w:val="zh-CN" w:eastAsia="zh-CN"/>
        </w:rPr>
        <w:t>、响应事宜</w:t>
      </w:r>
    </w:p>
    <w:p w14:paraId="4C5FD0BB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（一）意向参加调研的供应商应请在2025年12月29日12:00前将报名信息（资质、执照、联系人和联系方式）发送至82388971@qq.com ，邮件名称注明响应项目。截止后未登记者不接受响应，后续将通过邮箱发予PDF版本的施工图。</w:t>
      </w:r>
    </w:p>
    <w:p w14:paraId="192DD4E0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（二）调研响应文件一式一份，请在2026年1月6日17：30前寄送至南宁市大学东路166号广西医科大学第二附属医院10号楼2楼 基建科205室。</w:t>
      </w:r>
    </w:p>
    <w:p w14:paraId="76749041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（三）响应文件内请预留有效的联系方式，必</w:t>
      </w:r>
      <w:bookmarkStart w:id="4" w:name="_GoBack"/>
      <w:bookmarkEnd w:id="4"/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要时可能进行电话商询。</w:t>
      </w:r>
    </w:p>
    <w:p w14:paraId="4D0E7EF8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（四）联系电话：0771-3277543 韦老师。</w:t>
      </w:r>
    </w:p>
    <w:p w14:paraId="58FB0A9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  <w:lang w:val="zh-CN" w:eastAsia="zh-CN"/>
        </w:rPr>
        <w:t>、响应文件组成</w:t>
      </w:r>
    </w:p>
    <w:p w14:paraId="31D1FBA7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响应文件应包括（按顺序）下列文件，并逐页盖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单位公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章，不得有散页，所有材料必须密封装袋：</w:t>
      </w:r>
    </w:p>
    <w:p w14:paraId="5FB0035E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响应函（详见附件1）</w:t>
      </w:r>
    </w:p>
    <w:p w14:paraId="7E7E14D9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报价文件（详见附件2）</w:t>
      </w:r>
    </w:p>
    <w:p w14:paraId="45F2B1A8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法定代表人授权委托书（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详见附件3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）</w:t>
      </w:r>
    </w:p>
    <w:p w14:paraId="0A96585F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4、企业营业执照、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相关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运营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zh-CN" w:eastAsia="zh-CN" w:bidi="ar-SA"/>
        </w:rPr>
        <w:t>资质文件、有效的安全生产许可证复印件</w:t>
      </w: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等。</w:t>
      </w:r>
    </w:p>
    <w:p w14:paraId="6F1B43DA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 xml:space="preserve">                  </w:t>
      </w:r>
    </w:p>
    <w:p w14:paraId="5AFD5932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 xml:space="preserve">               </w:t>
      </w:r>
    </w:p>
    <w:p w14:paraId="6189749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549DE4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C0D5EE8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DB37560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2962ADE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E8A2153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1B727D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C705FF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A604F20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8EDE841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56B084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A570B8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579BEC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C9DAF8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CB1660A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AEA5EB5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E0F83C4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B2A9579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338DF2E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0FC9905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4538164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E89EBD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0AE6679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ascii="仿宋" w:hAnsi="仿宋" w:eastAsia="仿宋" w:cs="仿宋_GB2312"/>
          <w:b/>
          <w:sz w:val="32"/>
          <w:szCs w:val="32"/>
        </w:rPr>
        <w:t>1</w:t>
      </w:r>
    </w:p>
    <w:p w14:paraId="2D9E0261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1CE159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A1EE6D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  <w:lang w:val="en-US" w:eastAsia="zh-CN"/>
        </w:rPr>
        <w:t>二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附属医院</w:t>
      </w:r>
    </w:p>
    <w:p w14:paraId="0E8BC884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_GB2312"/>
          <w:sz w:val="32"/>
          <w:szCs w:val="32"/>
        </w:rPr>
        <w:t>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239818CB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_____</w:t>
      </w:r>
      <w:bookmarkStart w:id="0" w:name="OLE_LINK6"/>
      <w:bookmarkStart w:id="1" w:name="OLE_LINK5"/>
      <w:r>
        <w:rPr>
          <w:rFonts w:hint="eastAsia" w:ascii="仿宋" w:hAnsi="仿宋" w:eastAsia="仿宋"/>
          <w:sz w:val="32"/>
          <w:szCs w:val="32"/>
        </w:rPr>
        <w:t>__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日历天，质保期为</w:t>
      </w:r>
      <w:r>
        <w:rPr>
          <w:rFonts w:hint="eastAsia" w:ascii="仿宋" w:hAnsi="仿宋" w:eastAsia="仿宋"/>
          <w:sz w:val="32"/>
          <w:szCs w:val="32"/>
        </w:rPr>
        <w:t>___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CFBD700">
      <w:pPr>
        <w:pStyle w:val="4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法规、制度</w:t>
      </w:r>
      <w:r>
        <w:rPr>
          <w:rFonts w:hint="eastAsia" w:ascii="仿宋" w:hAnsi="仿宋" w:eastAsia="仿宋" w:cs="仿宋_GB2312"/>
          <w:sz w:val="32"/>
          <w:szCs w:val="32"/>
        </w:rPr>
        <w:t>文件规定参加响应，并理解贵方对决策结果没有解释义务。</w:t>
      </w:r>
    </w:p>
    <w:p w14:paraId="0473D7C5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B295FF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2D53071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65446D33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0D1E27E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58EE863D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51A0B584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1D605D40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14E620F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A60F60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27DA91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1D6DE5D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81BA49F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ascii="仿宋" w:hAnsi="仿宋" w:eastAsia="仿宋" w:cs="仿宋_GB2312"/>
          <w:b/>
          <w:sz w:val="32"/>
          <w:szCs w:val="32"/>
        </w:rPr>
        <w:t>2</w:t>
      </w:r>
    </w:p>
    <w:p w14:paraId="7B43BDC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8F27DD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报价明细</w:t>
      </w:r>
    </w:p>
    <w:p w14:paraId="5DF912A3">
      <w:pPr>
        <w:pStyle w:val="5"/>
        <w:ind w:left="528" w:hanging="528"/>
        <w:rPr>
          <w:rFonts w:ascii="仿宋" w:hAnsi="仿宋" w:eastAsia="仿宋"/>
        </w:rPr>
      </w:pPr>
    </w:p>
    <w:p w14:paraId="67515A40">
      <w:pPr>
        <w:autoSpaceDE w:val="0"/>
        <w:autoSpaceDN w:val="0"/>
        <w:adjustRightInd w:val="0"/>
        <w:snapToGrid w:val="0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请按工程量清单进行报价（报名后由邮箱获取，为XLSX 工作表格式）。</w:t>
      </w:r>
    </w:p>
    <w:p w14:paraId="37004123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FCFA72C">
      <w:pPr>
        <w:autoSpaceDE w:val="0"/>
        <w:autoSpaceDN w:val="0"/>
        <w:adjustRightInd w:val="0"/>
        <w:snapToGrid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3</w:t>
      </w:r>
    </w:p>
    <w:p w14:paraId="7C4CF316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法定代表人授权委托书</w:t>
      </w:r>
    </w:p>
    <w:p w14:paraId="137104C2"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2F16845C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  <w:lang w:val="en-US" w:eastAsia="zh-CN"/>
        </w:rPr>
        <w:t>二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附属医院</w:t>
      </w:r>
    </w:p>
    <w:p w14:paraId="0DE09085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1"/>
      <w:bookmarkStart w:id="3" w:name="OLE_LINK2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项目的调研响应活动，并代表我方全权办理针对上述项目的沟通、协商、签约等具体事务和签署相关文件。</w:t>
      </w:r>
    </w:p>
    <w:p w14:paraId="7B1502A6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70138D5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92155B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EE2EA22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723CF63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27BE69FC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4EF49F7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19969DE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4234828E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7381610B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6890766">
      <w:pPr>
        <w:pStyle w:val="3"/>
        <w:rPr>
          <w:rFonts w:hint="eastAsia"/>
        </w:rPr>
      </w:pPr>
    </w:p>
    <w:p w14:paraId="18740FCE">
      <w:pPr>
        <w:autoSpaceDE w:val="0"/>
        <w:autoSpaceDN w:val="0"/>
        <w:adjustRightInd w:val="0"/>
        <w:snapToGrid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1842D6E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15D3BE03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其他资料</w:t>
      </w:r>
    </w:p>
    <w:p w14:paraId="23331D1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D2C2D6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（包括但不限于企业营业执照、资质证书、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安全生产许可证</w:t>
      </w:r>
      <w:r>
        <w:rPr>
          <w:rFonts w:hint="eastAsia" w:ascii="仿宋" w:hAnsi="仿宋" w:eastAsia="仿宋"/>
          <w:b w:val="0"/>
          <w:bCs/>
          <w:sz w:val="32"/>
          <w:szCs w:val="32"/>
        </w:rPr>
        <w:t>等）</w:t>
      </w:r>
    </w:p>
    <w:p w14:paraId="2355E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5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2025-12-23T02:42:03Z</dcterms:created>
  <dc:creator>Administrator.PC-20220617XIBU</dc:creator>
  <cp:lastModifiedBy>扬帆</cp:lastModifiedBy>
  <dcterms:modified xsi:type="dcterms:W3CDTF">2025-12-23T03:03:15Z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eyJoZGlkIjoiMDFlMmU1OTdjZTExOGJjNzU3Zjc2M2EzNWUyMmExYzUiLCJ1c2VySWQiOiI3NjAzMDM3ODUifQ==</vt:lpwstr>
  </property>
  <property fmtid="{D5CDD505-2E9C-101B-9397-08002B2CF9AE}" pid="4" name="ICV">
    <vt:lpwstr>51E0190BF2D34186AF99D396D8C6CAC5_12</vt:lpwstr>
  </property>
</Properties>
</file>