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72F56">
      <w:pPr>
        <w:pStyle w:val="27"/>
        <w:spacing w:line="360" w:lineRule="auto"/>
        <w:jc w:val="center"/>
        <w:rPr>
          <w:rFonts w:asciiTheme="minorEastAsia" w:hAnsiTheme="minorEastAsia" w:eastAsiaTheme="minorEastAsia"/>
          <w:b/>
          <w:bCs/>
          <w:sz w:val="30"/>
          <w:szCs w:val="30"/>
        </w:rPr>
      </w:pPr>
      <w:r>
        <w:rPr>
          <w:rFonts w:hint="eastAsia" w:asciiTheme="minorEastAsia" w:hAnsiTheme="minorEastAsia" w:eastAsiaTheme="minorEastAsia"/>
          <w:b/>
          <w:bCs/>
          <w:sz w:val="30"/>
          <w:szCs w:val="30"/>
          <w:lang w:eastAsia="zh-CN"/>
        </w:rPr>
        <w:t>花生油</w:t>
      </w:r>
      <w:r>
        <w:rPr>
          <w:rFonts w:hint="eastAsia" w:asciiTheme="minorEastAsia" w:hAnsiTheme="minorEastAsia" w:eastAsiaTheme="minorEastAsia"/>
          <w:b/>
          <w:bCs/>
          <w:sz w:val="30"/>
          <w:szCs w:val="30"/>
        </w:rPr>
        <w:t>项目</w:t>
      </w:r>
    </w:p>
    <w:p w14:paraId="0DD46D2F">
      <w:pPr>
        <w:pStyle w:val="27"/>
        <w:spacing w:line="360" w:lineRule="auto"/>
        <w:jc w:val="center"/>
        <w:rPr>
          <w:rFonts w:asciiTheme="minorEastAsia" w:hAnsiTheme="minorEastAsia" w:eastAsiaTheme="minorEastAsia"/>
          <w:b/>
          <w:bCs/>
          <w:sz w:val="30"/>
          <w:szCs w:val="30"/>
          <w:lang w:val="zh-CN"/>
        </w:rPr>
      </w:pPr>
      <w:r>
        <w:rPr>
          <w:rFonts w:hint="eastAsia" w:asciiTheme="minorEastAsia" w:hAnsiTheme="minorEastAsia" w:eastAsiaTheme="minorEastAsia"/>
          <w:b/>
          <w:bCs/>
          <w:sz w:val="30"/>
          <w:szCs w:val="30"/>
          <w:lang w:val="zh-CN"/>
        </w:rPr>
        <w:t>采购需求</w:t>
      </w:r>
    </w:p>
    <w:p w14:paraId="1779DE1B">
      <w:pPr>
        <w:pStyle w:val="27"/>
        <w:spacing w:line="360" w:lineRule="auto"/>
        <w:rPr>
          <w:rFonts w:asciiTheme="minorEastAsia" w:hAnsiTheme="minorEastAsia" w:eastAsiaTheme="minorEastAsia"/>
          <w:szCs w:val="21"/>
          <w:lang w:val="zh-CN"/>
        </w:rPr>
      </w:pPr>
    </w:p>
    <w:p w14:paraId="62C919FA">
      <w:pPr>
        <w:pStyle w:val="27"/>
        <w:spacing w:line="360" w:lineRule="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一、项目概况</w:t>
      </w:r>
    </w:p>
    <w:p w14:paraId="50E369CE">
      <w:pPr>
        <w:pStyle w:val="27"/>
        <w:keepNext w:val="0"/>
        <w:keepLines w:val="0"/>
        <w:pageBreakBefore w:val="0"/>
        <w:numPr>
          <w:ilvl w:val="0"/>
          <w:numId w:val="1"/>
        </w:numPr>
        <w:kinsoku/>
        <w:wordWrap/>
        <w:overflowPunct/>
        <w:topLinePunct w:val="0"/>
        <w:autoSpaceDE/>
        <w:autoSpaceDN/>
        <w:bidi w:val="0"/>
        <w:spacing w:line="50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预算价: 119600元</w:t>
      </w:r>
    </w:p>
    <w:p w14:paraId="2320EED5">
      <w:pPr>
        <w:pStyle w:val="27"/>
        <w:keepNext w:val="0"/>
        <w:keepLines w:val="0"/>
        <w:pageBreakBefore w:val="0"/>
        <w:numPr>
          <w:ilvl w:val="0"/>
          <w:numId w:val="1"/>
        </w:numPr>
        <w:kinsoku/>
        <w:wordWrap/>
        <w:overflowPunct/>
        <w:topLinePunct w:val="0"/>
        <w:autoSpaceDE/>
        <w:autoSpaceDN/>
        <w:bidi w:val="0"/>
        <w:spacing w:line="50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服务期:</w:t>
      </w:r>
      <w:r>
        <w:rPr>
          <w:rFonts w:hint="eastAsia" w:cs="宋体"/>
          <w:sz w:val="21"/>
          <w:szCs w:val="21"/>
          <w:highlight w:val="none"/>
          <w:lang w:val="en-US" w:eastAsia="zh-CN"/>
        </w:rPr>
        <w:t>3个月</w:t>
      </w:r>
      <w:r>
        <w:rPr>
          <w:rFonts w:hint="eastAsia" w:ascii="宋体" w:hAnsi="宋体" w:eastAsia="宋体" w:cs="宋体"/>
          <w:sz w:val="21"/>
          <w:szCs w:val="21"/>
          <w:highlight w:val="none"/>
          <w:lang w:val="zh-CN"/>
        </w:rPr>
        <w:t xml:space="preserve">。 </w:t>
      </w:r>
    </w:p>
    <w:p w14:paraId="71B40A7B">
      <w:pPr>
        <w:pStyle w:val="27"/>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lang w:val="zh-CN"/>
        </w:rPr>
        <w:t xml:space="preserve">二、供应商资格要求 </w:t>
      </w:r>
    </w:p>
    <w:p w14:paraId="7AF2BEE1">
      <w:pPr>
        <w:keepNext w:val="0"/>
        <w:keepLines w:val="0"/>
        <w:pageBreakBefore w:val="0"/>
        <w:tabs>
          <w:tab w:val="left" w:pos="180"/>
          <w:tab w:val="left" w:pos="1620"/>
        </w:tabs>
        <w:kinsoku/>
        <w:wordWrap/>
        <w:overflowPunct/>
        <w:topLinePunct w:val="0"/>
        <w:autoSpaceDE/>
        <w:autoSpaceDN/>
        <w:bidi w:val="0"/>
        <w:spacing w:line="500" w:lineRule="exact"/>
        <w:jc w:val="left"/>
        <w:textAlignment w:val="auto"/>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highlight w:val="none"/>
          <w:lang w:val="zh-CN" w:eastAsia="zh-CN" w:bidi="ar-SA"/>
        </w:rPr>
        <w:t xml:space="preserve">1 </w:t>
      </w:r>
      <w:r>
        <w:rPr>
          <w:rFonts w:hint="eastAsia" w:ascii="宋体" w:hAnsi="宋体" w:cs="宋体"/>
          <w:kern w:val="0"/>
          <w:sz w:val="21"/>
          <w:szCs w:val="21"/>
          <w:highlight w:val="none"/>
          <w:lang w:val="en-US" w:eastAsia="zh-CN" w:bidi="ar-SA"/>
        </w:rPr>
        <w:t>.</w:t>
      </w:r>
      <w:r>
        <w:rPr>
          <w:rFonts w:hint="eastAsia" w:ascii="宋体" w:hAnsi="宋体" w:eastAsia="宋体" w:cs="宋体"/>
          <w:kern w:val="0"/>
          <w:sz w:val="21"/>
          <w:szCs w:val="21"/>
          <w:highlight w:val="none"/>
          <w:lang w:val="zh-CN" w:eastAsia="zh-CN" w:bidi="ar-SA"/>
        </w:rPr>
        <w:t>参与供应商必须具有独立承担民事责任的能力，具有有效的《营业执照》，市场监督管理部门有特定资格要求的， 应满</w:t>
      </w:r>
      <w:r>
        <w:rPr>
          <w:rFonts w:hint="eastAsia" w:ascii="宋体" w:hAnsi="宋体" w:eastAsia="宋体" w:cs="宋体"/>
          <w:kern w:val="0"/>
          <w:sz w:val="21"/>
          <w:szCs w:val="21"/>
          <w:lang w:val="zh-CN" w:eastAsia="zh-CN" w:bidi="ar-SA"/>
        </w:rPr>
        <w:t>足特定资格要求；</w:t>
      </w:r>
    </w:p>
    <w:p w14:paraId="7EDDDD3A">
      <w:pPr>
        <w:keepNext w:val="0"/>
        <w:keepLines w:val="0"/>
        <w:pageBreakBefore w:val="0"/>
        <w:tabs>
          <w:tab w:val="left" w:pos="180"/>
          <w:tab w:val="left" w:pos="1620"/>
        </w:tabs>
        <w:kinsoku/>
        <w:wordWrap/>
        <w:overflowPunct/>
        <w:topLinePunct w:val="0"/>
        <w:autoSpaceDE/>
        <w:autoSpaceDN/>
        <w:bidi w:val="0"/>
        <w:spacing w:line="500" w:lineRule="exact"/>
        <w:jc w:val="left"/>
        <w:textAlignment w:val="auto"/>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2</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zh-CN" w:eastAsia="zh-CN" w:bidi="ar-SA"/>
        </w:rPr>
        <w:t>对在“信用中国”网站(www.creditchina.gov.cn )、中国政府采购网(www.ccgp.gov.cn )等渠道列入失信被执行人、重大税收违法案件当事人名单、政府采购严重违法失信行为记录名单的供应商，将被拒绝参与本次比选活动。</w:t>
      </w:r>
    </w:p>
    <w:p w14:paraId="0756A14E">
      <w:pPr>
        <w:keepNext w:val="0"/>
        <w:keepLines w:val="0"/>
        <w:pageBreakBefore w:val="0"/>
        <w:tabs>
          <w:tab w:val="left" w:pos="180"/>
          <w:tab w:val="left" w:pos="1620"/>
        </w:tabs>
        <w:kinsoku/>
        <w:wordWrap/>
        <w:overflowPunct/>
        <w:topLinePunct w:val="0"/>
        <w:autoSpaceDE/>
        <w:autoSpaceDN/>
        <w:bidi w:val="0"/>
        <w:spacing w:line="500" w:lineRule="exact"/>
        <w:jc w:val="left"/>
        <w:textAlignment w:val="auto"/>
        <w:rPr>
          <w:rFonts w:hint="eastAsia" w:ascii="宋体" w:hAnsi="宋体" w:eastAsia="宋体" w:cs="宋体"/>
          <w:kern w:val="0"/>
          <w:sz w:val="21"/>
          <w:szCs w:val="21"/>
          <w:highlight w:val="yellow"/>
          <w:lang w:val="zh-CN" w:eastAsia="zh-CN" w:bidi="ar-SA"/>
        </w:rPr>
      </w:pPr>
      <w:r>
        <w:rPr>
          <w:rFonts w:hint="eastAsia" w:ascii="宋体" w:hAnsi="宋体" w:eastAsia="宋体" w:cs="宋体"/>
          <w:kern w:val="0"/>
          <w:sz w:val="21"/>
          <w:szCs w:val="21"/>
          <w:lang w:val="zh-CN" w:eastAsia="zh-CN" w:bidi="ar-SA"/>
        </w:rPr>
        <w:t>3</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zh-CN" w:eastAsia="zh-CN" w:bidi="ar-SA"/>
        </w:rPr>
        <w:t>不接受联合体参与。</w:t>
      </w:r>
    </w:p>
    <w:p w14:paraId="705BDA42">
      <w:pPr>
        <w:keepNext w:val="0"/>
        <w:keepLines w:val="0"/>
        <w:pageBreakBefore w:val="0"/>
        <w:tabs>
          <w:tab w:val="left" w:pos="180"/>
          <w:tab w:val="left" w:pos="1620"/>
        </w:tabs>
        <w:kinsoku/>
        <w:wordWrap/>
        <w:overflowPunct/>
        <w:topLinePunct w:val="0"/>
        <w:autoSpaceDE/>
        <w:autoSpaceDN/>
        <w:bidi w:val="0"/>
        <w:spacing w:line="5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三、</w:t>
      </w:r>
      <w:r>
        <w:rPr>
          <w:rFonts w:hint="eastAsia" w:ascii="宋体" w:hAnsi="宋体" w:cs="宋体"/>
          <w:b/>
          <w:bCs/>
          <w:sz w:val="21"/>
          <w:szCs w:val="21"/>
          <w:lang w:eastAsia="zh-CN"/>
        </w:rPr>
        <w:t>参数要求</w:t>
      </w:r>
      <w:r>
        <w:rPr>
          <w:rFonts w:hint="eastAsia" w:ascii="宋体" w:hAnsi="宋体" w:eastAsia="宋体" w:cs="宋体"/>
          <w:b/>
          <w:bCs/>
          <w:sz w:val="21"/>
          <w:szCs w:val="21"/>
        </w:rPr>
        <w:t>：</w:t>
      </w:r>
    </w:p>
    <w:tbl>
      <w:tblPr>
        <w:tblStyle w:val="21"/>
        <w:tblpPr w:leftFromText="180" w:rightFromText="180" w:vertAnchor="text" w:horzAnchor="page" w:tblpX="1585" w:tblpY="574"/>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7"/>
        <w:gridCol w:w="965"/>
        <w:gridCol w:w="917"/>
        <w:gridCol w:w="6213"/>
      </w:tblGrid>
      <w:tr w14:paraId="795B7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50" w:type="pct"/>
            <w:tcBorders>
              <w:top w:val="single" w:color="auto" w:sz="4" w:space="0"/>
              <w:left w:val="single" w:color="auto" w:sz="4" w:space="0"/>
              <w:bottom w:val="single" w:color="auto" w:sz="4" w:space="0"/>
              <w:right w:val="single" w:color="auto" w:sz="4" w:space="0"/>
            </w:tcBorders>
            <w:vAlign w:val="center"/>
          </w:tcPr>
          <w:p w14:paraId="3CD66B7B">
            <w:pPr>
              <w:spacing w:line="360" w:lineRule="auto"/>
              <w:jc w:val="center"/>
              <w:rPr>
                <w:rFonts w:ascii="宋体" w:hAnsi="宋体" w:cs="宋体"/>
                <w:b/>
                <w:color w:val="000000" w:themeColor="text1"/>
                <w:szCs w:val="21"/>
              </w:rPr>
            </w:pPr>
            <w:r>
              <w:rPr>
                <w:rFonts w:hint="eastAsia" w:ascii="宋体" w:hAnsi="宋体" w:cs="宋体"/>
                <w:b/>
                <w:color w:val="000000" w:themeColor="text1"/>
                <w:szCs w:val="21"/>
              </w:rPr>
              <w:t>序号</w:t>
            </w:r>
          </w:p>
        </w:tc>
        <w:tc>
          <w:tcPr>
            <w:tcW w:w="567" w:type="pct"/>
            <w:tcBorders>
              <w:top w:val="single" w:color="auto" w:sz="4" w:space="0"/>
              <w:left w:val="single" w:color="auto" w:sz="4" w:space="0"/>
              <w:bottom w:val="single" w:color="auto" w:sz="4" w:space="0"/>
              <w:right w:val="single" w:color="auto" w:sz="4" w:space="0"/>
            </w:tcBorders>
            <w:vAlign w:val="center"/>
          </w:tcPr>
          <w:p w14:paraId="5D530B40">
            <w:pPr>
              <w:spacing w:line="360" w:lineRule="auto"/>
              <w:jc w:val="center"/>
              <w:rPr>
                <w:rFonts w:ascii="宋体" w:hAnsi="宋体" w:cs="宋体"/>
                <w:b/>
                <w:color w:val="000000" w:themeColor="text1"/>
                <w:szCs w:val="21"/>
              </w:rPr>
            </w:pPr>
            <w:r>
              <w:rPr>
                <w:rFonts w:hint="eastAsia" w:ascii="宋体" w:hAnsi="宋体" w:cs="宋体"/>
                <w:b/>
                <w:color w:val="000000" w:themeColor="text1"/>
                <w:szCs w:val="21"/>
              </w:rPr>
              <w:t>标的名称</w:t>
            </w:r>
          </w:p>
        </w:tc>
        <w:tc>
          <w:tcPr>
            <w:tcW w:w="538" w:type="pct"/>
            <w:tcBorders>
              <w:top w:val="single" w:color="auto" w:sz="4" w:space="0"/>
              <w:left w:val="single" w:color="auto" w:sz="4" w:space="0"/>
              <w:bottom w:val="single" w:color="auto" w:sz="4" w:space="0"/>
              <w:right w:val="single" w:color="auto" w:sz="4" w:space="0"/>
            </w:tcBorders>
            <w:vAlign w:val="center"/>
          </w:tcPr>
          <w:p w14:paraId="4A024EEA">
            <w:pPr>
              <w:spacing w:line="360" w:lineRule="auto"/>
              <w:jc w:val="center"/>
              <w:rPr>
                <w:rFonts w:ascii="宋体" w:hAnsi="宋体" w:cs="宋体"/>
                <w:b/>
                <w:color w:val="000000" w:themeColor="text1"/>
                <w:szCs w:val="21"/>
              </w:rPr>
            </w:pPr>
            <w:r>
              <w:rPr>
                <w:rFonts w:hint="eastAsia" w:ascii="宋体" w:hAnsi="宋体" w:cs="宋体"/>
                <w:b/>
                <w:color w:val="000000" w:themeColor="text1"/>
                <w:szCs w:val="21"/>
              </w:rPr>
              <w:t>数量</w:t>
            </w:r>
          </w:p>
        </w:tc>
        <w:tc>
          <w:tcPr>
            <w:tcW w:w="3643" w:type="pct"/>
            <w:tcBorders>
              <w:top w:val="single" w:color="auto" w:sz="4" w:space="0"/>
              <w:left w:val="single" w:color="auto" w:sz="4" w:space="0"/>
              <w:bottom w:val="single" w:color="auto" w:sz="4" w:space="0"/>
              <w:right w:val="single" w:color="auto" w:sz="4" w:space="0"/>
            </w:tcBorders>
            <w:vAlign w:val="center"/>
          </w:tcPr>
          <w:p w14:paraId="44C90FBC">
            <w:pPr>
              <w:spacing w:line="360" w:lineRule="auto"/>
              <w:jc w:val="center"/>
              <w:rPr>
                <w:rFonts w:ascii="宋体" w:hAnsi="宋体" w:cs="宋体"/>
                <w:b/>
                <w:color w:val="000000" w:themeColor="text1"/>
                <w:szCs w:val="21"/>
              </w:rPr>
            </w:pPr>
            <w:r>
              <w:rPr>
                <w:rFonts w:hint="eastAsia" w:ascii="宋体" w:hAnsi="宋体" w:cs="宋体"/>
                <w:b/>
                <w:color w:val="000000" w:themeColor="text1"/>
                <w:szCs w:val="21"/>
                <w:lang w:eastAsia="zh-CN"/>
              </w:rPr>
              <w:t>参数</w:t>
            </w:r>
            <w:r>
              <w:rPr>
                <w:rFonts w:hint="eastAsia" w:ascii="宋体" w:hAnsi="宋体" w:cs="宋体"/>
                <w:b/>
                <w:color w:val="000000" w:themeColor="text1"/>
                <w:szCs w:val="21"/>
              </w:rPr>
              <w:t>及要求</w:t>
            </w:r>
            <w:r>
              <w:rPr>
                <w:rFonts w:hint="eastAsia" w:ascii="宋体" w:hAnsi="宋体" w:cs="宋体"/>
                <w:color w:val="000000" w:themeColor="text1"/>
                <w:szCs w:val="21"/>
              </w:rPr>
              <w:t>▲</w:t>
            </w:r>
          </w:p>
        </w:tc>
      </w:tr>
      <w:tr w14:paraId="52D56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50" w:type="pct"/>
            <w:tcBorders>
              <w:top w:val="single" w:color="auto" w:sz="4" w:space="0"/>
              <w:left w:val="single" w:color="auto" w:sz="4" w:space="0"/>
              <w:bottom w:val="single" w:color="auto" w:sz="4" w:space="0"/>
              <w:right w:val="single" w:color="auto" w:sz="4" w:space="0"/>
            </w:tcBorders>
            <w:vAlign w:val="center"/>
          </w:tcPr>
          <w:p w14:paraId="14F1BC63">
            <w:pPr>
              <w:spacing w:line="360" w:lineRule="auto"/>
              <w:jc w:val="center"/>
              <w:rPr>
                <w:rFonts w:ascii="宋体" w:hAnsi="宋体" w:cs="宋体"/>
                <w:b/>
                <w:color w:val="000000" w:themeColor="text1"/>
                <w:szCs w:val="21"/>
              </w:rPr>
            </w:pPr>
            <w:r>
              <w:rPr>
                <w:rFonts w:hint="eastAsia" w:ascii="宋体" w:hAnsi="宋体" w:cs="宋体"/>
                <w:b/>
                <w:color w:val="000000" w:themeColor="text1"/>
                <w:szCs w:val="21"/>
              </w:rPr>
              <w:t>1</w:t>
            </w:r>
          </w:p>
        </w:tc>
        <w:tc>
          <w:tcPr>
            <w:tcW w:w="567" w:type="pct"/>
            <w:tcBorders>
              <w:top w:val="single" w:color="auto" w:sz="4" w:space="0"/>
              <w:left w:val="single" w:color="auto" w:sz="4" w:space="0"/>
              <w:bottom w:val="single" w:color="auto" w:sz="4" w:space="0"/>
              <w:right w:val="single" w:color="auto" w:sz="4" w:space="0"/>
            </w:tcBorders>
            <w:vAlign w:val="center"/>
          </w:tcPr>
          <w:p w14:paraId="2781758C">
            <w:pPr>
              <w:spacing w:line="360" w:lineRule="auto"/>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花生油</w:t>
            </w:r>
          </w:p>
        </w:tc>
        <w:tc>
          <w:tcPr>
            <w:tcW w:w="538" w:type="pct"/>
            <w:tcBorders>
              <w:top w:val="single" w:color="auto" w:sz="4" w:space="0"/>
              <w:left w:val="single" w:color="auto" w:sz="4" w:space="0"/>
              <w:bottom w:val="single" w:color="auto" w:sz="4" w:space="0"/>
              <w:right w:val="single" w:color="auto" w:sz="4" w:space="0"/>
            </w:tcBorders>
            <w:vAlign w:val="center"/>
          </w:tcPr>
          <w:p w14:paraId="61AE1929">
            <w:pPr>
              <w:spacing w:line="360" w:lineRule="auto"/>
              <w:jc w:val="both"/>
              <w:rPr>
                <w:rFonts w:ascii="宋体" w:hAnsi="宋体" w:cs="宋体"/>
                <w:color w:val="000000" w:themeColor="text1"/>
                <w:szCs w:val="21"/>
              </w:rPr>
            </w:pPr>
            <w:r>
              <w:rPr>
                <w:rFonts w:hint="eastAsia" w:ascii="宋体" w:hAnsi="宋体" w:cs="宋体"/>
                <w:color w:val="000000" w:themeColor="text1"/>
                <w:szCs w:val="21"/>
              </w:rPr>
              <w:t>1196份</w:t>
            </w:r>
          </w:p>
        </w:tc>
        <w:tc>
          <w:tcPr>
            <w:tcW w:w="3643" w:type="pct"/>
            <w:tcBorders>
              <w:top w:val="single" w:color="auto" w:sz="4" w:space="0"/>
              <w:left w:val="single" w:color="auto" w:sz="4" w:space="0"/>
              <w:bottom w:val="single" w:color="auto" w:sz="4" w:space="0"/>
              <w:right w:val="single" w:color="auto" w:sz="4" w:space="0"/>
            </w:tcBorders>
            <w:vAlign w:val="center"/>
          </w:tcPr>
          <w:p w14:paraId="727A2737">
            <w:pPr>
              <w:pStyle w:val="41"/>
              <w:keepNext w:val="0"/>
              <w:keepLines w:val="0"/>
              <w:pageBreakBefore w:val="0"/>
              <w:numPr>
                <w:ilvl w:val="0"/>
                <w:numId w:val="0"/>
              </w:numPr>
              <w:kinsoku/>
              <w:wordWrap/>
              <w:overflowPunct/>
              <w:topLinePunct w:val="0"/>
              <w:bidi w:val="0"/>
              <w:spacing w:after="156" w:line="480" w:lineRule="exact"/>
              <w:jc w:val="left"/>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w:t>
            </w:r>
            <w:r>
              <w:rPr>
                <w:rFonts w:hint="eastAsia" w:ascii="宋体" w:hAnsi="宋体" w:eastAsia="宋体" w:cs="宋体"/>
                <w:color w:val="000000" w:themeColor="text1"/>
                <w:kern w:val="2"/>
                <w:sz w:val="21"/>
                <w:szCs w:val="21"/>
                <w:lang w:val="en-US" w:eastAsia="zh-CN" w:bidi="ar-SA"/>
              </w:rPr>
              <w:t>1、规格：</w:t>
            </w:r>
            <w:r>
              <w:rPr>
                <w:rFonts w:hint="eastAsia" w:hAnsi="宋体" w:eastAsia="宋体" w:cs="宋体"/>
                <w:color w:val="000000" w:themeColor="text1"/>
                <w:kern w:val="2"/>
                <w:sz w:val="21"/>
                <w:szCs w:val="21"/>
                <w:lang w:val="en-US" w:eastAsia="zh-CN" w:bidi="ar-SA"/>
              </w:rPr>
              <w:t>5L</w:t>
            </w:r>
            <w:r>
              <w:rPr>
                <w:rFonts w:hint="eastAsia" w:ascii="宋体" w:hAnsi="宋体" w:eastAsia="宋体" w:cs="宋体"/>
                <w:color w:val="000000" w:themeColor="text1"/>
                <w:kern w:val="2"/>
                <w:sz w:val="21"/>
                <w:szCs w:val="21"/>
                <w:lang w:val="en-US" w:eastAsia="zh-CN" w:bidi="ar-SA"/>
              </w:rPr>
              <w:t>；</w:t>
            </w:r>
          </w:p>
          <w:p w14:paraId="3F0FCD8A">
            <w:pPr>
              <w:pStyle w:val="41"/>
              <w:keepNext w:val="0"/>
              <w:keepLines w:val="0"/>
              <w:pageBreakBefore w:val="0"/>
              <w:numPr>
                <w:ilvl w:val="0"/>
                <w:numId w:val="0"/>
              </w:numPr>
              <w:kinsoku/>
              <w:wordWrap/>
              <w:overflowPunct/>
              <w:topLinePunct w:val="0"/>
              <w:bidi w:val="0"/>
              <w:spacing w:after="156" w:line="480" w:lineRule="exact"/>
              <w:jc w:val="left"/>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2、参考品牌：金龙鱼或同等品牌；</w:t>
            </w:r>
          </w:p>
          <w:p w14:paraId="5894B267">
            <w:pPr>
              <w:pStyle w:val="9"/>
              <w:keepNext w:val="0"/>
              <w:keepLines w:val="0"/>
              <w:pageBreakBefore w:val="0"/>
              <w:kinsoku/>
              <w:wordWrap/>
              <w:overflowPunct/>
              <w:topLinePunct w:val="0"/>
              <w:bidi w:val="0"/>
              <w:spacing w:line="480" w:lineRule="exact"/>
              <w:ind w:left="0" w:leftChars="0" w:firstLine="0" w:firstLineChars="0"/>
              <w:jc w:val="left"/>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w:t>
            </w:r>
            <w:r>
              <w:rPr>
                <w:rFonts w:hint="eastAsia" w:ascii="宋体" w:hAnsi="宋体" w:eastAsia="宋体" w:cs="宋体"/>
                <w:color w:val="000000" w:themeColor="text1"/>
                <w:kern w:val="2"/>
                <w:sz w:val="21"/>
                <w:szCs w:val="21"/>
                <w:lang w:val="en-US" w:eastAsia="zh-CN" w:bidi="ar-SA"/>
              </w:rPr>
              <w:t>3、</w:t>
            </w:r>
            <w:r>
              <w:rPr>
                <w:rFonts w:hint="eastAsia" w:ascii="宋体" w:hAnsi="宋体" w:cs="宋体"/>
                <w:color w:val="000000" w:themeColor="text1"/>
                <w:kern w:val="2"/>
                <w:sz w:val="21"/>
                <w:szCs w:val="21"/>
                <w:lang w:val="en-US" w:eastAsia="zh-CN" w:bidi="ar-SA"/>
              </w:rPr>
              <w:t>满足国家</w:t>
            </w:r>
            <w:r>
              <w:rPr>
                <w:rFonts w:hint="eastAsia" w:ascii="宋体" w:hAnsi="宋体" w:eastAsia="宋体" w:cs="宋体"/>
                <w:color w:val="000000" w:themeColor="text1"/>
                <w:kern w:val="2"/>
                <w:sz w:val="21"/>
                <w:szCs w:val="21"/>
                <w:lang w:val="en-US" w:eastAsia="zh-CN" w:bidi="ar-SA"/>
              </w:rPr>
              <w:t>标准：花生油</w:t>
            </w:r>
            <w:r>
              <w:rPr>
                <w:rFonts w:hint="eastAsia" w:ascii="宋体" w:hAnsi="宋体" w:cs="宋体"/>
                <w:color w:val="000000" w:themeColor="text1"/>
                <w:kern w:val="2"/>
                <w:sz w:val="21"/>
                <w:szCs w:val="21"/>
                <w:lang w:val="en-US" w:eastAsia="zh-CN" w:bidi="ar-SA"/>
              </w:rPr>
              <w:t>，</w:t>
            </w:r>
            <w:r>
              <w:rPr>
                <w:rFonts w:hint="eastAsia" w:ascii="宋体" w:hAnsi="宋体" w:eastAsia="宋体" w:cs="宋体"/>
                <w:color w:val="000000" w:themeColor="text1"/>
                <w:kern w:val="2"/>
                <w:sz w:val="21"/>
                <w:szCs w:val="21"/>
                <w:lang w:val="en-US" w:eastAsia="zh-CN" w:bidi="ar-SA"/>
              </w:rPr>
              <w:t>执行标准编号GB 1534-2003；</w:t>
            </w:r>
          </w:p>
          <w:p w14:paraId="7C947E72">
            <w:pPr>
              <w:pStyle w:val="10"/>
              <w:keepNext w:val="0"/>
              <w:keepLines w:val="0"/>
              <w:pageBreakBefore w:val="0"/>
              <w:kinsoku/>
              <w:wordWrap/>
              <w:overflowPunct/>
              <w:topLinePunct w:val="0"/>
              <w:bidi w:val="0"/>
              <w:spacing w:line="480" w:lineRule="exact"/>
              <w:ind w:left="0" w:leftChars="0" w:firstLine="0" w:firstLineChars="0"/>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w:t>
            </w:r>
            <w:r>
              <w:rPr>
                <w:rFonts w:hint="eastAsia" w:ascii="宋体" w:hAnsi="宋体" w:eastAsia="宋体" w:cs="宋体"/>
                <w:color w:val="000000" w:themeColor="text1"/>
                <w:kern w:val="2"/>
                <w:sz w:val="21"/>
                <w:szCs w:val="21"/>
                <w:lang w:val="en-US" w:eastAsia="zh-CN" w:bidi="ar-SA"/>
              </w:rPr>
              <w:t>4、主要原料：花生油；</w:t>
            </w:r>
          </w:p>
          <w:p w14:paraId="370CC55B">
            <w:pPr>
              <w:pStyle w:val="10"/>
              <w:keepNext w:val="0"/>
              <w:keepLines w:val="0"/>
              <w:pageBreakBefore w:val="0"/>
              <w:kinsoku/>
              <w:wordWrap/>
              <w:overflowPunct/>
              <w:topLinePunct w:val="0"/>
              <w:bidi w:val="0"/>
              <w:spacing w:line="480" w:lineRule="exact"/>
              <w:ind w:left="0" w:leftChars="0" w:firstLine="0" w:firstLineChars="0"/>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Cs w:val="21"/>
              </w:rPr>
              <w:t>▲</w:t>
            </w:r>
            <w:r>
              <w:rPr>
                <w:rFonts w:hint="eastAsia" w:ascii="宋体" w:hAnsi="宋体" w:eastAsia="宋体" w:cs="宋体"/>
                <w:color w:val="000000" w:themeColor="text1"/>
                <w:kern w:val="2"/>
                <w:sz w:val="21"/>
                <w:szCs w:val="21"/>
                <w:lang w:val="en-US" w:eastAsia="zh-CN" w:bidi="ar-SA"/>
              </w:rPr>
              <w:t>5、质保期：</w:t>
            </w:r>
            <w:r>
              <w:rPr>
                <w:rFonts w:hint="eastAsia" w:ascii="宋体" w:hAnsi="宋体" w:eastAsia="宋体" w:cs="宋体"/>
                <w:color w:val="000000" w:themeColor="text1"/>
                <w:kern w:val="2"/>
                <w:sz w:val="21"/>
                <w:szCs w:val="21"/>
                <w:highlight w:val="none"/>
                <w:lang w:val="en-US" w:eastAsia="zh-CN" w:bidi="ar-SA"/>
              </w:rPr>
              <w:t>按国家有关产品“三包”规定执行“三包”。保质期不得少于18个月，自运抵采购人指定供货地点起剩余保质期至少在 12 个月以上。</w:t>
            </w:r>
          </w:p>
          <w:p w14:paraId="0B50B4FA">
            <w:pPr>
              <w:pStyle w:val="10"/>
              <w:keepNext w:val="0"/>
              <w:keepLines w:val="0"/>
              <w:pageBreakBefore w:val="0"/>
              <w:kinsoku/>
              <w:wordWrap/>
              <w:overflowPunct/>
              <w:topLinePunct w:val="0"/>
              <w:bidi w:val="0"/>
              <w:spacing w:line="480" w:lineRule="exact"/>
              <w:ind w:left="0" w:leftChars="0" w:firstLine="0" w:firstLineChars="0"/>
              <w:textAlignment w:val="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Cs w:val="21"/>
              </w:rPr>
              <w:t>▲</w:t>
            </w:r>
            <w:r>
              <w:rPr>
                <w:rFonts w:hint="eastAsia" w:ascii="宋体" w:hAnsi="宋体" w:eastAsia="宋体" w:cs="宋体"/>
                <w:color w:val="000000" w:themeColor="text1"/>
                <w:kern w:val="2"/>
                <w:sz w:val="21"/>
                <w:szCs w:val="21"/>
                <w:highlight w:val="none"/>
                <w:lang w:val="en-US" w:eastAsia="zh-CN" w:bidi="ar-SA"/>
              </w:rPr>
              <w:t>6、配送要求：</w:t>
            </w:r>
          </w:p>
          <w:p w14:paraId="1B1B64E0">
            <w:pPr>
              <w:pStyle w:val="10"/>
              <w:keepNext w:val="0"/>
              <w:keepLines w:val="0"/>
              <w:pageBreakBefore w:val="0"/>
              <w:kinsoku/>
              <w:wordWrap/>
              <w:overflowPunct/>
              <w:topLinePunct w:val="0"/>
              <w:bidi w:val="0"/>
              <w:spacing w:line="480" w:lineRule="exact"/>
              <w:ind w:left="0" w:leftChars="0" w:firstLine="0" w:firstLineChars="0"/>
              <w:textAlignment w:val="auto"/>
            </w:pPr>
            <w:r>
              <w:rPr>
                <w:rFonts w:hint="eastAsia" w:ascii="宋体" w:hAnsi="宋体" w:eastAsia="宋体" w:cs="宋体"/>
                <w:color w:val="000000" w:themeColor="text1"/>
                <w:kern w:val="2"/>
                <w:sz w:val="21"/>
                <w:szCs w:val="21"/>
                <w:highlight w:val="none"/>
                <w:lang w:val="en-US" w:eastAsia="zh-CN" w:bidi="ar-SA"/>
              </w:rPr>
              <w:t>采购人下单后3日内送达指定地点，数量为暂定，具体以采购人通知为准。分3次送货，第一批800份，第二批200份，第三批196份，第一批发放时，需要供应商协助采购人发放5天，协助人员至少2人。最后阶段，供应商需对部分失独、空巢、年老体弱的离退休职工提供送货上门服务。</w:t>
            </w:r>
          </w:p>
        </w:tc>
      </w:tr>
      <w:tr w14:paraId="3665D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tcPr>
          <w:p w14:paraId="76EADEEC">
            <w:pPr>
              <w:spacing w:line="360" w:lineRule="auto"/>
              <w:rPr>
                <w:rFonts w:ascii="宋体" w:hAnsi="宋体" w:cs="宋体"/>
                <w:color w:val="000000" w:themeColor="text1"/>
                <w:szCs w:val="21"/>
              </w:rPr>
            </w:pPr>
            <w:r>
              <w:rPr>
                <w:rFonts w:hint="eastAsia" w:ascii="宋体" w:hAnsi="宋体" w:cs="宋体"/>
                <w:color w:val="000000" w:themeColor="text1"/>
                <w:szCs w:val="21"/>
              </w:rPr>
              <w:t>▲二、</w:t>
            </w:r>
            <w:r>
              <w:rPr>
                <w:rFonts w:hint="eastAsia" w:ascii="宋体" w:hAnsi="宋体" w:cs="宋体"/>
                <w:b/>
                <w:color w:val="000000" w:themeColor="text1"/>
                <w:szCs w:val="21"/>
              </w:rPr>
              <w:t>商务条款</w:t>
            </w:r>
          </w:p>
        </w:tc>
      </w:tr>
      <w:tr w14:paraId="61091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pct"/>
            <w:gridSpan w:val="2"/>
            <w:tcBorders>
              <w:top w:val="single" w:color="auto" w:sz="4" w:space="0"/>
              <w:left w:val="single" w:color="auto" w:sz="4" w:space="0"/>
              <w:bottom w:val="single" w:color="auto" w:sz="4" w:space="0"/>
              <w:right w:val="single" w:color="auto" w:sz="4" w:space="0"/>
            </w:tcBorders>
            <w:vAlign w:val="center"/>
          </w:tcPr>
          <w:p w14:paraId="31675472">
            <w:pPr>
              <w:spacing w:line="360" w:lineRule="auto"/>
              <w:jc w:val="center"/>
              <w:rPr>
                <w:rFonts w:ascii="宋体" w:hAnsi="宋体" w:cs="宋体"/>
                <w:color w:val="000000" w:themeColor="text1"/>
                <w:szCs w:val="21"/>
              </w:rPr>
            </w:pPr>
            <w:r>
              <w:rPr>
                <w:rFonts w:hint="eastAsia" w:ascii="宋体" w:hAnsi="宋体" w:cs="宋体"/>
                <w:color w:val="000000" w:themeColor="text1"/>
              </w:rPr>
              <w:t>服务的时间</w:t>
            </w:r>
            <w:r>
              <w:rPr>
                <w:rFonts w:hint="eastAsia" w:ascii="宋体" w:hAnsi="宋体" w:cs="宋体"/>
                <w:color w:val="000000" w:themeColor="text1"/>
                <w:szCs w:val="21"/>
              </w:rPr>
              <w:t>或</w:t>
            </w:r>
            <w:r>
              <w:rPr>
                <w:rFonts w:hint="eastAsia" w:ascii="宋体" w:hAnsi="宋体" w:cs="宋体"/>
                <w:color w:val="000000" w:themeColor="text1"/>
              </w:rPr>
              <w:t>服务期限</w:t>
            </w:r>
          </w:p>
        </w:tc>
        <w:tc>
          <w:tcPr>
            <w:tcW w:w="4182" w:type="pct"/>
            <w:gridSpan w:val="2"/>
            <w:tcBorders>
              <w:top w:val="single" w:color="auto" w:sz="4" w:space="0"/>
              <w:left w:val="single" w:color="auto" w:sz="4" w:space="0"/>
              <w:bottom w:val="single" w:color="auto" w:sz="4" w:space="0"/>
              <w:right w:val="single" w:color="auto" w:sz="4" w:space="0"/>
            </w:tcBorders>
            <w:vAlign w:val="center"/>
          </w:tcPr>
          <w:p w14:paraId="6EC6E373">
            <w:pPr>
              <w:spacing w:line="360" w:lineRule="auto"/>
              <w:jc w:val="left"/>
              <w:rPr>
                <w:rFonts w:ascii="宋体" w:hAnsi="宋体" w:cs="宋体"/>
                <w:color w:val="000000" w:themeColor="text1"/>
                <w:highlight w:val="none"/>
              </w:rPr>
            </w:pPr>
            <w:r>
              <w:rPr>
                <w:rFonts w:hint="eastAsia" w:ascii="宋体" w:hAnsi="宋体" w:cs="宋体"/>
                <w:color w:val="000000" w:themeColor="text1"/>
                <w:szCs w:val="21"/>
                <w:highlight w:val="none"/>
                <w:u w:val="single"/>
              </w:rPr>
              <w:t>合同签订之日起</w:t>
            </w:r>
            <w:r>
              <w:rPr>
                <w:rFonts w:hint="eastAsia" w:ascii="宋体" w:hAnsi="宋体" w:cs="宋体"/>
                <w:color w:val="000000" w:themeColor="text1"/>
                <w:szCs w:val="21"/>
                <w:highlight w:val="none"/>
                <w:u w:val="single"/>
                <w:lang w:val="en-US" w:eastAsia="zh-CN"/>
              </w:rPr>
              <w:t>3个月</w:t>
            </w:r>
            <w:r>
              <w:rPr>
                <w:rFonts w:hint="eastAsia" w:ascii="宋体" w:hAnsi="宋体" w:cs="宋体"/>
                <w:color w:val="000000" w:themeColor="text1"/>
                <w:szCs w:val="21"/>
                <w:highlight w:val="none"/>
                <w:u w:val="single"/>
              </w:rPr>
              <w:t>。</w:t>
            </w:r>
          </w:p>
        </w:tc>
      </w:tr>
      <w:tr w14:paraId="08536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pct"/>
            <w:gridSpan w:val="2"/>
            <w:tcBorders>
              <w:top w:val="single" w:color="auto" w:sz="4" w:space="0"/>
              <w:left w:val="single" w:color="auto" w:sz="4" w:space="0"/>
              <w:bottom w:val="single" w:color="auto" w:sz="4" w:space="0"/>
              <w:right w:val="single" w:color="auto" w:sz="4" w:space="0"/>
            </w:tcBorders>
            <w:vAlign w:val="center"/>
          </w:tcPr>
          <w:p w14:paraId="6D500DC9">
            <w:pPr>
              <w:spacing w:line="360" w:lineRule="auto"/>
              <w:jc w:val="center"/>
              <w:rPr>
                <w:rFonts w:ascii="宋体" w:hAnsi="宋体" w:cs="宋体"/>
                <w:color w:val="000000" w:themeColor="text1"/>
              </w:rPr>
            </w:pPr>
            <w:r>
              <w:rPr>
                <w:rFonts w:hint="eastAsia" w:ascii="宋体" w:hAnsi="宋体" w:cs="宋体"/>
                <w:color w:val="000000" w:themeColor="text1"/>
                <w:szCs w:val="21"/>
              </w:rPr>
              <w:t>服务地点或交付地点</w:t>
            </w:r>
          </w:p>
        </w:tc>
        <w:tc>
          <w:tcPr>
            <w:tcW w:w="4182" w:type="pct"/>
            <w:gridSpan w:val="2"/>
            <w:tcBorders>
              <w:top w:val="single" w:color="auto" w:sz="4" w:space="0"/>
              <w:left w:val="single" w:color="auto" w:sz="4" w:space="0"/>
              <w:bottom w:val="single" w:color="auto" w:sz="4" w:space="0"/>
              <w:right w:val="single" w:color="auto" w:sz="4" w:space="0"/>
            </w:tcBorders>
            <w:vAlign w:val="center"/>
          </w:tcPr>
          <w:p w14:paraId="7C55CCA3">
            <w:pPr>
              <w:spacing w:line="360" w:lineRule="auto"/>
              <w:jc w:val="left"/>
              <w:rPr>
                <w:rFonts w:ascii="宋体" w:hAnsi="宋体" w:cs="宋体"/>
                <w:color w:val="000000" w:themeColor="text1"/>
              </w:rPr>
            </w:pPr>
            <w:r>
              <w:rPr>
                <w:rFonts w:hint="eastAsia" w:ascii="宋体" w:hAnsi="宋体" w:cs="宋体"/>
                <w:color w:val="000000" w:themeColor="text1"/>
                <w:szCs w:val="21"/>
                <w:u w:val="single"/>
              </w:rPr>
              <w:t>南宁市双拥路6号广西医科大学第一附属医院内</w:t>
            </w:r>
          </w:p>
        </w:tc>
      </w:tr>
      <w:tr w14:paraId="3130D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pct"/>
            <w:gridSpan w:val="2"/>
            <w:tcBorders>
              <w:top w:val="single" w:color="auto" w:sz="4" w:space="0"/>
              <w:left w:val="single" w:color="auto" w:sz="4" w:space="0"/>
              <w:bottom w:val="single" w:color="auto" w:sz="4" w:space="0"/>
              <w:right w:val="single" w:color="auto" w:sz="4" w:space="0"/>
            </w:tcBorders>
            <w:vAlign w:val="center"/>
          </w:tcPr>
          <w:p w14:paraId="490FF8B0">
            <w:pPr>
              <w:spacing w:line="360" w:lineRule="auto"/>
              <w:jc w:val="center"/>
              <w:rPr>
                <w:rFonts w:ascii="宋体" w:hAnsi="宋体" w:cs="宋体"/>
                <w:bCs/>
                <w:color w:val="000000" w:themeColor="text1"/>
                <w:szCs w:val="21"/>
                <w:highlight w:val="none"/>
              </w:rPr>
            </w:pPr>
            <w:r>
              <w:rPr>
                <w:rFonts w:hint="eastAsia" w:ascii="宋体" w:hAnsi="宋体" w:cs="宋体"/>
                <w:color w:val="000000" w:themeColor="text1"/>
                <w:szCs w:val="21"/>
                <w:highlight w:val="none"/>
              </w:rPr>
              <w:t>付款方式、时间、条件</w:t>
            </w:r>
          </w:p>
        </w:tc>
        <w:tc>
          <w:tcPr>
            <w:tcW w:w="4182" w:type="pct"/>
            <w:gridSpan w:val="2"/>
            <w:tcBorders>
              <w:top w:val="single" w:color="auto" w:sz="4" w:space="0"/>
              <w:left w:val="single" w:color="auto" w:sz="4" w:space="0"/>
              <w:bottom w:val="single" w:color="auto" w:sz="4" w:space="0"/>
              <w:right w:val="single" w:color="auto" w:sz="4" w:space="0"/>
            </w:tcBorders>
            <w:vAlign w:val="center"/>
          </w:tcPr>
          <w:p w14:paraId="38322CCB">
            <w:pPr>
              <w:spacing w:line="360" w:lineRule="auto"/>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w:t>
            </w:r>
            <w:r>
              <w:rPr>
                <w:rFonts w:hint="eastAsia" w:ascii="宋体" w:hAnsi="宋体" w:cs="宋体"/>
                <w:color w:val="000000" w:themeColor="text1"/>
                <w:szCs w:val="21"/>
                <w:highlight w:val="none"/>
                <w:lang w:eastAsia="zh-CN"/>
              </w:rPr>
              <w:t>本项目一次性付款，全部货物验收合格后</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按照供货数量结算，</w:t>
            </w:r>
            <w:r>
              <w:rPr>
                <w:rFonts w:hint="eastAsia" w:ascii="宋体" w:hAnsi="宋体" w:cs="宋体"/>
                <w:color w:val="000000" w:themeColor="text1"/>
                <w:szCs w:val="21"/>
                <w:highlight w:val="none"/>
              </w:rPr>
              <w:t>供应商将发票等相关付款资料交与采购人，采购人完成付款审批手续后15个工作日内付款。</w:t>
            </w:r>
          </w:p>
          <w:p w14:paraId="5006A8D8">
            <w:pPr>
              <w:spacing w:line="360" w:lineRule="auto"/>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2.结算金额=</w:t>
            </w:r>
            <w:r>
              <w:rPr>
                <w:rFonts w:hint="eastAsia" w:ascii="宋体" w:hAnsi="宋体" w:cs="宋体"/>
                <w:color w:val="000000" w:themeColor="text1"/>
                <w:szCs w:val="21"/>
                <w:highlight w:val="none"/>
                <w:lang w:eastAsia="zh-CN"/>
              </w:rPr>
              <w:t>配送数量</w:t>
            </w:r>
            <w:r>
              <w:rPr>
                <w:rFonts w:hint="eastAsia" w:ascii="宋体" w:hAnsi="宋体" w:cs="宋体"/>
                <w:color w:val="000000" w:themeColor="text1"/>
                <w:szCs w:val="21"/>
                <w:highlight w:val="none"/>
              </w:rPr>
              <w:t>（验收单数量为准）×单价；</w:t>
            </w:r>
          </w:p>
          <w:p w14:paraId="1DF0378F">
            <w:pPr>
              <w:widowControl/>
              <w:spacing w:line="360" w:lineRule="auto"/>
              <w:jc w:val="left"/>
              <w:rPr>
                <w:rFonts w:ascii="宋体" w:hAnsi="宋体" w:cs="宋体"/>
                <w:color w:val="000000" w:themeColor="text1"/>
                <w:highlight w:val="none"/>
              </w:rPr>
            </w:pPr>
            <w:r>
              <w:rPr>
                <w:rFonts w:hint="eastAsia" w:ascii="宋体" w:hAnsi="宋体" w:cs="宋体"/>
                <w:color w:val="000000" w:themeColor="text1"/>
                <w:szCs w:val="21"/>
                <w:highlight w:val="none"/>
              </w:rPr>
              <w:t>本合同使用货币币制如未作特别说明均为人民币。</w:t>
            </w:r>
          </w:p>
        </w:tc>
      </w:tr>
      <w:tr w14:paraId="36735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pct"/>
            <w:gridSpan w:val="2"/>
            <w:tcBorders>
              <w:top w:val="single" w:color="auto" w:sz="4" w:space="0"/>
              <w:left w:val="single" w:color="auto" w:sz="4" w:space="0"/>
              <w:bottom w:val="single" w:color="auto" w:sz="4" w:space="0"/>
              <w:right w:val="single" w:color="auto" w:sz="4" w:space="0"/>
            </w:tcBorders>
            <w:vAlign w:val="center"/>
          </w:tcPr>
          <w:p w14:paraId="70D598D1">
            <w:pPr>
              <w:spacing w:line="360" w:lineRule="auto"/>
              <w:jc w:val="center"/>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lang w:eastAsia="zh-CN"/>
              </w:rPr>
              <w:t>三</w:t>
            </w:r>
            <w:r>
              <w:rPr>
                <w:rFonts w:hint="eastAsia" w:ascii="宋体" w:hAnsi="宋体" w:cs="宋体"/>
                <w:color w:val="000000" w:themeColor="text1"/>
                <w:szCs w:val="21"/>
                <w:highlight w:val="none"/>
              </w:rPr>
              <w:t>、</w:t>
            </w:r>
            <w:r>
              <w:rPr>
                <w:rFonts w:hint="eastAsia" w:ascii="宋体" w:hAnsi="宋体" w:cs="宋体"/>
                <w:b/>
                <w:color w:val="000000" w:themeColor="text1"/>
                <w:szCs w:val="21"/>
                <w:highlight w:val="none"/>
                <w:lang w:eastAsia="zh-CN"/>
              </w:rPr>
              <w:t>样品</w:t>
            </w:r>
          </w:p>
        </w:tc>
        <w:tc>
          <w:tcPr>
            <w:tcW w:w="4182" w:type="pct"/>
            <w:gridSpan w:val="2"/>
            <w:tcBorders>
              <w:top w:val="single" w:color="auto" w:sz="4" w:space="0"/>
              <w:left w:val="single" w:color="auto" w:sz="4" w:space="0"/>
              <w:bottom w:val="single" w:color="auto" w:sz="4" w:space="0"/>
              <w:right w:val="single" w:color="auto" w:sz="4" w:space="0"/>
            </w:tcBorders>
            <w:vAlign w:val="center"/>
          </w:tcPr>
          <w:p w14:paraId="7F46A23A">
            <w:pPr>
              <w:widowControl/>
              <w:spacing w:line="360" w:lineRule="auto"/>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供应商可根据自身情况，提供花生油样品（</w:t>
            </w:r>
            <w:r>
              <w:rPr>
                <w:rFonts w:hint="eastAsia" w:ascii="宋体" w:hAnsi="宋体" w:cs="宋体"/>
                <w:color w:val="000000" w:themeColor="text1"/>
                <w:kern w:val="2"/>
                <w:sz w:val="21"/>
                <w:szCs w:val="21"/>
                <w:highlight w:val="none"/>
                <w:lang w:val="en-US" w:eastAsia="zh-CN" w:bidi="ar-SA"/>
              </w:rPr>
              <w:t>5L</w:t>
            </w:r>
            <w:r>
              <w:rPr>
                <w:rFonts w:hint="eastAsia" w:ascii="宋体" w:hAnsi="宋体" w:cs="宋体"/>
                <w:color w:val="000000" w:themeColor="text1"/>
                <w:szCs w:val="21"/>
                <w:highlight w:val="none"/>
                <w:lang w:eastAsia="zh-CN"/>
              </w:rPr>
              <w:t>），作为样品分打分依据。不提供样品的，样品分为</w:t>
            </w:r>
            <w:r>
              <w:rPr>
                <w:rFonts w:hint="eastAsia" w:ascii="宋体" w:hAnsi="宋体" w:cs="宋体"/>
                <w:color w:val="000000" w:themeColor="text1"/>
                <w:szCs w:val="21"/>
                <w:highlight w:val="none"/>
                <w:lang w:val="en-US" w:eastAsia="zh-CN"/>
              </w:rPr>
              <w:t>0分。提供的样品不予清退。</w:t>
            </w:r>
          </w:p>
        </w:tc>
      </w:tr>
    </w:tbl>
    <w:p w14:paraId="0712C68A">
      <w:pPr>
        <w:keepNext w:val="0"/>
        <w:keepLines w:val="0"/>
        <w:pageBreakBefore w:val="0"/>
        <w:widowControl w:val="0"/>
        <w:tabs>
          <w:tab w:val="left" w:pos="180"/>
          <w:tab w:val="left" w:pos="1620"/>
        </w:tabs>
        <w:kinsoku/>
        <w:wordWrap/>
        <w:overflowPunct/>
        <w:topLinePunct w:val="0"/>
        <w:autoSpaceDE/>
        <w:autoSpaceDN/>
        <w:bidi w:val="0"/>
        <w:spacing w:line="500" w:lineRule="exact"/>
        <w:jc w:val="left"/>
        <w:textAlignment w:val="auto"/>
        <w:rPr>
          <w:rFonts w:hint="eastAsia" w:ascii="宋体" w:hAnsi="宋体" w:eastAsia="宋体" w:cs="宋体"/>
          <w:b/>
          <w:bCs/>
          <w:sz w:val="21"/>
          <w:szCs w:val="21"/>
        </w:rPr>
      </w:pPr>
      <w:r>
        <w:rPr>
          <w:rFonts w:hint="eastAsia" w:ascii="宋体" w:hAnsi="宋体" w:cs="宋体"/>
          <w:b/>
          <w:bCs/>
          <w:sz w:val="21"/>
          <w:szCs w:val="21"/>
          <w:highlight w:val="none"/>
          <w:lang w:eastAsia="zh-CN"/>
        </w:rPr>
        <w:t>四</w:t>
      </w:r>
      <w:r>
        <w:rPr>
          <w:rFonts w:hint="eastAsia" w:ascii="宋体" w:hAnsi="宋体" w:eastAsia="宋体" w:cs="宋体"/>
          <w:b/>
          <w:bCs/>
          <w:sz w:val="21"/>
          <w:szCs w:val="21"/>
          <w:highlight w:val="none"/>
        </w:rPr>
        <w:t>、采购人联系方式</w:t>
      </w:r>
    </w:p>
    <w:p w14:paraId="7E6ACBEA">
      <w:pPr>
        <w:pStyle w:val="15"/>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    称：广西医科大学第一附属医院</w:t>
      </w:r>
    </w:p>
    <w:p w14:paraId="4410805E">
      <w:pPr>
        <w:pStyle w:val="15"/>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    址：广西南宁市双拥路6号</w:t>
      </w:r>
    </w:p>
    <w:p w14:paraId="7A9604B1">
      <w:pPr>
        <w:pStyle w:val="15"/>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联系方式：黄工，07715356589</w:t>
      </w:r>
    </w:p>
    <w:p w14:paraId="163152B3">
      <w:pPr>
        <w:keepNext w:val="0"/>
        <w:keepLines w:val="0"/>
        <w:pageBreakBefore w:val="0"/>
        <w:widowControl w:val="0"/>
        <w:kinsoku/>
        <w:wordWrap/>
        <w:overflowPunct/>
        <w:topLinePunct w:val="0"/>
        <w:autoSpaceDE/>
        <w:autoSpaceDN/>
        <w:bidi w:val="0"/>
        <w:spacing w:after="120" w:line="500" w:lineRule="exact"/>
        <w:textAlignment w:val="auto"/>
        <w:rPr>
          <w:rFonts w:hint="eastAsia" w:ascii="宋体" w:hAnsi="宋体" w:eastAsia="宋体" w:cs="宋体"/>
          <w:b/>
          <w:bCs/>
          <w:sz w:val="21"/>
          <w:szCs w:val="21"/>
        </w:rPr>
        <w:sectPr>
          <w:footerReference r:id="rId4" w:type="first"/>
          <w:footerReference r:id="rId3" w:type="default"/>
          <w:pgSz w:w="11906" w:h="16838"/>
          <w:pgMar w:top="1440" w:right="1800" w:bottom="1440" w:left="1800" w:header="851" w:footer="992" w:gutter="0"/>
          <w:pgNumType w:fmt="decimal"/>
          <w:cols w:space="425" w:num="1"/>
          <w:docGrid w:type="lines" w:linePitch="312" w:charSpace="0"/>
        </w:sectPr>
      </w:pPr>
    </w:p>
    <w:p w14:paraId="7D268763">
      <w:pPr>
        <w:spacing w:line="360" w:lineRule="auto"/>
        <w:jc w:val="center"/>
        <w:rPr>
          <w:rFonts w:ascii="仿宋" w:hAnsi="仿宋" w:eastAsia="仿宋" w:cs="仿宋"/>
          <w:b/>
          <w:sz w:val="28"/>
          <w:szCs w:val="28"/>
        </w:rPr>
      </w:pPr>
      <w:r>
        <w:rPr>
          <w:rFonts w:hint="eastAsia" w:ascii="仿宋" w:hAnsi="仿宋" w:eastAsia="仿宋" w:cs="仿宋"/>
          <w:b/>
          <w:sz w:val="28"/>
          <w:szCs w:val="28"/>
        </w:rPr>
        <w:t>报价材料要求</w:t>
      </w:r>
    </w:p>
    <w:p w14:paraId="531913EB">
      <w:pPr>
        <w:pStyle w:val="20"/>
        <w:spacing w:line="360" w:lineRule="auto"/>
        <w:ind w:firstLine="562"/>
        <w:rPr>
          <w:rFonts w:ascii="仿宋" w:hAnsi="仿宋" w:eastAsia="仿宋" w:cs="仿宋"/>
          <w:b/>
          <w:szCs w:val="28"/>
        </w:rPr>
      </w:pPr>
    </w:p>
    <w:p w14:paraId="163E4C97">
      <w:pPr>
        <w:pStyle w:val="20"/>
        <w:spacing w:line="360" w:lineRule="auto"/>
        <w:ind w:firstLine="560"/>
        <w:jc w:val="left"/>
        <w:rPr>
          <w:rFonts w:hint="eastAsia" w:ascii="仿宋" w:hAnsi="仿宋" w:eastAsia="仿宋" w:cs="仿宋"/>
          <w:bCs/>
          <w:szCs w:val="28"/>
          <w:lang w:eastAsia="zh-CN"/>
        </w:rPr>
      </w:pPr>
      <w:r>
        <w:rPr>
          <w:rFonts w:hint="eastAsia" w:ascii="仿宋" w:hAnsi="仿宋" w:eastAsia="仿宋" w:cs="仿宋"/>
          <w:bCs/>
          <w:szCs w:val="28"/>
        </w:rPr>
        <w:t>1.营业执照复印件</w:t>
      </w:r>
      <w:r>
        <w:rPr>
          <w:rFonts w:hint="eastAsia" w:ascii="仿宋" w:hAnsi="仿宋" w:eastAsia="仿宋" w:cs="仿宋"/>
          <w:bCs/>
          <w:szCs w:val="28"/>
          <w:lang w:eastAsia="zh-CN"/>
        </w:rPr>
        <w:t>；</w:t>
      </w:r>
    </w:p>
    <w:p w14:paraId="4DA04003">
      <w:pPr>
        <w:pStyle w:val="20"/>
        <w:spacing w:line="360" w:lineRule="auto"/>
        <w:ind w:firstLine="560"/>
        <w:jc w:val="left"/>
        <w:rPr>
          <w:rFonts w:hint="eastAsia" w:ascii="仿宋" w:hAnsi="仿宋" w:eastAsia="仿宋" w:cs="仿宋"/>
          <w:bCs/>
          <w:szCs w:val="28"/>
          <w:lang w:eastAsia="zh-CN"/>
        </w:rPr>
      </w:pPr>
      <w:r>
        <w:rPr>
          <w:rFonts w:hint="eastAsia" w:ascii="仿宋" w:hAnsi="仿宋" w:eastAsia="仿宋" w:cs="仿宋"/>
          <w:bCs/>
          <w:szCs w:val="28"/>
        </w:rPr>
        <w:t>2.法定代表人身份证明或法人授权委托书及被授权人身份证明和联系方式</w:t>
      </w:r>
      <w:r>
        <w:rPr>
          <w:rFonts w:hint="eastAsia" w:ascii="仿宋" w:hAnsi="仿宋" w:eastAsia="仿宋" w:cs="仿宋"/>
          <w:bCs/>
          <w:szCs w:val="28"/>
          <w:lang w:eastAsia="zh-CN"/>
        </w:rPr>
        <w:t>；</w:t>
      </w:r>
    </w:p>
    <w:p w14:paraId="24067B01">
      <w:pPr>
        <w:pStyle w:val="20"/>
        <w:spacing w:line="360" w:lineRule="auto"/>
        <w:ind w:firstLine="560"/>
        <w:jc w:val="left"/>
        <w:rPr>
          <w:rFonts w:ascii="仿宋" w:hAnsi="仿宋" w:eastAsia="仿宋" w:cs="仿宋"/>
          <w:bCs/>
          <w:szCs w:val="28"/>
        </w:rPr>
      </w:pPr>
      <w:r>
        <w:rPr>
          <w:rFonts w:hint="eastAsia" w:ascii="仿宋" w:hAnsi="仿宋" w:eastAsia="仿宋" w:cs="仿宋"/>
          <w:bCs/>
          <w:szCs w:val="28"/>
        </w:rPr>
        <w:t>3. 报价表【报价不得高于预算价，仅一次报价】；</w:t>
      </w:r>
    </w:p>
    <w:p w14:paraId="4BBAFB28">
      <w:pPr>
        <w:pStyle w:val="20"/>
        <w:spacing w:line="360" w:lineRule="auto"/>
        <w:ind w:firstLine="560"/>
        <w:jc w:val="left"/>
        <w:rPr>
          <w:rFonts w:ascii="仿宋" w:hAnsi="仿宋" w:eastAsia="仿宋" w:cs="仿宋"/>
          <w:bCs/>
          <w:szCs w:val="28"/>
        </w:rPr>
      </w:pPr>
      <w:r>
        <w:rPr>
          <w:rFonts w:hint="eastAsia" w:ascii="仿宋" w:hAnsi="仿宋" w:eastAsia="仿宋" w:cs="仿宋"/>
          <w:bCs/>
          <w:szCs w:val="28"/>
        </w:rPr>
        <w:t>4. 声明函、公司直接控股股东信息表、公司直接管理关系信息表</w:t>
      </w:r>
    </w:p>
    <w:p w14:paraId="0833A023">
      <w:pPr>
        <w:pStyle w:val="20"/>
        <w:spacing w:line="360" w:lineRule="auto"/>
        <w:ind w:firstLine="560"/>
        <w:jc w:val="left"/>
        <w:rPr>
          <w:rFonts w:hint="default" w:ascii="仿宋" w:hAnsi="仿宋" w:eastAsia="仿宋" w:cs="仿宋"/>
          <w:bCs/>
          <w:szCs w:val="28"/>
          <w:highlight w:val="none"/>
          <w:lang w:val="en-US" w:eastAsia="zh-CN"/>
        </w:rPr>
      </w:pPr>
      <w:r>
        <w:rPr>
          <w:rFonts w:hint="eastAsia" w:ascii="仿宋" w:hAnsi="仿宋" w:eastAsia="仿宋" w:cs="仿宋"/>
          <w:bCs/>
          <w:szCs w:val="28"/>
          <w:highlight w:val="none"/>
          <w:lang w:val="en-US" w:eastAsia="zh-CN"/>
        </w:rPr>
        <w:t>5.参数要求完全响应；</w:t>
      </w:r>
    </w:p>
    <w:p w14:paraId="33E0E865">
      <w:pPr>
        <w:pStyle w:val="20"/>
        <w:spacing w:line="360" w:lineRule="auto"/>
        <w:ind w:firstLine="560"/>
        <w:jc w:val="left"/>
        <w:rPr>
          <w:rFonts w:ascii="仿宋" w:hAnsi="仿宋" w:eastAsia="仿宋" w:cs="仿宋"/>
          <w:bCs/>
          <w:szCs w:val="28"/>
        </w:rPr>
      </w:pPr>
      <w:r>
        <w:rPr>
          <w:rFonts w:hint="eastAsia" w:ascii="仿宋" w:hAnsi="仿宋" w:eastAsia="仿宋" w:cs="仿宋"/>
          <w:bCs/>
          <w:szCs w:val="28"/>
          <w:lang w:val="en-US" w:eastAsia="zh-CN"/>
        </w:rPr>
        <w:t>6</w:t>
      </w:r>
      <w:r>
        <w:rPr>
          <w:rFonts w:hint="eastAsia" w:ascii="仿宋" w:hAnsi="仿宋" w:eastAsia="仿宋" w:cs="仿宋"/>
          <w:bCs/>
          <w:szCs w:val="28"/>
        </w:rPr>
        <w:t>.供应商自行根据评标方案提供评审资料。</w:t>
      </w:r>
    </w:p>
    <w:p w14:paraId="74A04356">
      <w:pPr>
        <w:pStyle w:val="20"/>
        <w:spacing w:line="360" w:lineRule="auto"/>
        <w:ind w:firstLine="560"/>
        <w:jc w:val="left"/>
        <w:rPr>
          <w:rFonts w:hint="eastAsia" w:ascii="仿宋" w:hAnsi="仿宋" w:eastAsia="仿宋" w:cs="仿宋"/>
          <w:bCs/>
          <w:szCs w:val="28"/>
        </w:rPr>
      </w:pPr>
    </w:p>
    <w:p w14:paraId="46470419">
      <w:pPr>
        <w:pStyle w:val="20"/>
        <w:spacing w:line="360" w:lineRule="auto"/>
        <w:ind w:firstLine="562"/>
        <w:jc w:val="left"/>
        <w:rPr>
          <w:rFonts w:ascii="仿宋" w:hAnsi="仿宋" w:eastAsia="仿宋" w:cs="仿宋"/>
          <w:b/>
          <w:szCs w:val="28"/>
        </w:rPr>
      </w:pPr>
      <w:r>
        <w:rPr>
          <w:rFonts w:hint="eastAsia" w:ascii="仿宋" w:hAnsi="仿宋" w:eastAsia="仿宋" w:cs="仿宋"/>
          <w:b/>
          <w:szCs w:val="28"/>
        </w:rPr>
        <w:t>以上材料必须提交。</w:t>
      </w:r>
    </w:p>
    <w:p w14:paraId="6F06FC05">
      <w:pPr>
        <w:ind w:firstLine="560" w:firstLineChars="200"/>
        <w:rPr>
          <w:rFonts w:ascii="仿宋" w:hAnsi="仿宋" w:eastAsia="仿宋" w:cs="仿宋"/>
          <w:bCs/>
          <w:sz w:val="28"/>
          <w:szCs w:val="28"/>
        </w:rPr>
        <w:sectPr>
          <w:footerReference r:id="rId6" w:type="first"/>
          <w:footerReference r:id="rId5" w:type="default"/>
          <w:pgSz w:w="11906" w:h="16838"/>
          <w:pgMar w:top="1418" w:right="1555" w:bottom="1418" w:left="1531" w:header="851" w:footer="992" w:gutter="0"/>
          <w:pgNumType w:fmt="decimal"/>
          <w:cols w:space="720" w:num="1"/>
          <w:titlePg/>
          <w:docGrid w:type="lines" w:linePitch="312" w:charSpace="0"/>
        </w:sectPr>
      </w:pPr>
      <w:r>
        <w:rPr>
          <w:rFonts w:hint="eastAsia" w:ascii="仿宋" w:hAnsi="仿宋" w:eastAsia="仿宋" w:cs="仿宋"/>
          <w:bCs/>
          <w:sz w:val="28"/>
          <w:szCs w:val="28"/>
        </w:rPr>
        <w:t>备注：资料要求密封并加盖单位公章，所提交资</w:t>
      </w:r>
      <w:r>
        <w:rPr>
          <w:rFonts w:hint="eastAsia" w:ascii="仿宋" w:hAnsi="仿宋" w:eastAsia="仿宋" w:cs="仿宋"/>
          <w:bCs/>
          <w:sz w:val="28"/>
          <w:szCs w:val="28"/>
          <w:highlight w:val="none"/>
        </w:rPr>
        <w:t>料恕不退回，请按要求准备文件，如未按要求提供资料，视为不能响应需求。提交时间为2025年9月</w:t>
      </w:r>
      <w:r>
        <w:rPr>
          <w:rFonts w:hint="eastAsia" w:ascii="仿宋" w:hAnsi="仿宋" w:eastAsia="仿宋" w:cs="仿宋"/>
          <w:bCs/>
          <w:sz w:val="28"/>
          <w:szCs w:val="28"/>
          <w:highlight w:val="none"/>
          <w:lang w:val="en-US" w:eastAsia="zh-CN"/>
        </w:rPr>
        <w:t>30</w:t>
      </w:r>
      <w:bookmarkStart w:id="0" w:name="_GoBack"/>
      <w:bookmarkEnd w:id="0"/>
      <w:r>
        <w:rPr>
          <w:rFonts w:hint="eastAsia" w:ascii="仿宋" w:hAnsi="仿宋" w:eastAsia="仿宋" w:cs="仿宋"/>
          <w:bCs/>
          <w:sz w:val="28"/>
          <w:szCs w:val="28"/>
          <w:highlight w:val="none"/>
        </w:rPr>
        <w:t>日上午8:00—9:00，逾期不予受理（可提前提交）。递</w:t>
      </w:r>
      <w:r>
        <w:rPr>
          <w:rFonts w:hint="eastAsia" w:ascii="仿宋" w:hAnsi="仿宋" w:eastAsia="仿宋" w:cs="仿宋"/>
          <w:bCs/>
          <w:sz w:val="28"/>
          <w:szCs w:val="28"/>
        </w:rPr>
        <w:t>交或邮寄地址：广西南宁市青秀区中山街道广西医科大学附属小学对面培训中心办公区，黄工</w:t>
      </w:r>
      <w:r>
        <w:rPr>
          <w:rFonts w:ascii="仿宋" w:hAnsi="仿宋" w:eastAsia="仿宋" w:cs="仿宋"/>
          <w:bCs/>
          <w:sz w:val="28"/>
          <w:szCs w:val="28"/>
        </w:rPr>
        <w:t>0771</w:t>
      </w:r>
      <w:r>
        <w:rPr>
          <w:rFonts w:hint="eastAsia" w:ascii="仿宋" w:hAnsi="仿宋" w:eastAsia="仿宋" w:cs="仿宋"/>
          <w:bCs/>
          <w:sz w:val="28"/>
          <w:szCs w:val="28"/>
          <w:lang w:val="en-US" w:eastAsia="zh-CN"/>
        </w:rPr>
        <w:t>-</w:t>
      </w:r>
      <w:r>
        <w:rPr>
          <w:rFonts w:ascii="仿宋" w:hAnsi="仿宋" w:eastAsia="仿宋" w:cs="仿宋"/>
          <w:bCs/>
          <w:sz w:val="28"/>
          <w:szCs w:val="28"/>
        </w:rPr>
        <w:t>5356589</w:t>
      </w:r>
      <w:r>
        <w:rPr>
          <w:rFonts w:hint="eastAsia" w:ascii="仿宋" w:hAnsi="仿宋" w:eastAsia="仿宋" w:cs="仿宋"/>
          <w:bCs/>
          <w:sz w:val="28"/>
          <w:szCs w:val="28"/>
        </w:rPr>
        <w:t>。</w:t>
      </w:r>
    </w:p>
    <w:p w14:paraId="45B31CE6">
      <w:pPr>
        <w:tabs>
          <w:tab w:val="left" w:pos="3479"/>
        </w:tabs>
        <w:spacing w:line="520" w:lineRule="exact"/>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44"/>
          <w:szCs w:val="44"/>
        </w:rPr>
        <w:t xml:space="preserve"> 报  价  表</w:t>
      </w:r>
    </w:p>
    <w:p w14:paraId="44FA08ED">
      <w:pPr>
        <w:snapToGrid w:val="0"/>
        <w:spacing w:before="50" w:after="50" w:line="360" w:lineRule="auto"/>
        <w:rPr>
          <w:rFonts w:ascii="宋体" w:hAnsi="宋体" w:cs="仿宋_GB2312"/>
          <w:color w:val="000000"/>
          <w:sz w:val="24"/>
        </w:rPr>
      </w:pPr>
      <w:r>
        <w:rPr>
          <w:rFonts w:hint="eastAsia" w:ascii="宋体" w:hAnsi="宋体" w:cs="仿宋_GB2312"/>
          <w:color w:val="000000"/>
          <w:sz w:val="24"/>
        </w:rPr>
        <w:t xml:space="preserve">                    </w:t>
      </w:r>
    </w:p>
    <w:p w14:paraId="15CB1DDC">
      <w:pPr>
        <w:snapToGrid w:val="0"/>
        <w:spacing w:before="50" w:after="50" w:line="360" w:lineRule="auto"/>
        <w:ind w:firstLine="5520" w:firstLineChars="2300"/>
        <w:jc w:val="right"/>
        <w:rPr>
          <w:rFonts w:ascii="宋体" w:hAnsi="宋体" w:cs="仿宋_GB2312"/>
          <w:color w:val="000000"/>
          <w:sz w:val="24"/>
        </w:rPr>
      </w:pPr>
      <w:r>
        <w:rPr>
          <w:rFonts w:hint="eastAsia" w:ascii="宋体" w:hAnsi="宋体" w:cs="仿宋_GB2312"/>
          <w:color w:val="000000"/>
          <w:sz w:val="24"/>
        </w:rPr>
        <w:t>单位：元</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983"/>
        <w:gridCol w:w="1327"/>
        <w:gridCol w:w="2202"/>
        <w:gridCol w:w="3294"/>
      </w:tblGrid>
      <w:tr w14:paraId="0B15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B4766D1">
            <w:pPr>
              <w:spacing w:line="220" w:lineRule="atLeast"/>
              <w:jc w:val="left"/>
              <w:rPr>
                <w:rFonts w:hint="eastAsia" w:ascii="宋体" w:hAnsi="宋体" w:eastAsia="宋体" w:cs="仿宋"/>
                <w:color w:val="000000"/>
                <w:sz w:val="24"/>
                <w:szCs w:val="24"/>
                <w:lang w:eastAsia="zh-CN"/>
              </w:rPr>
            </w:pPr>
            <w:r>
              <w:rPr>
                <w:rFonts w:hint="eastAsia" w:ascii="宋体" w:hAnsi="宋体" w:cs="仿宋"/>
                <w:color w:val="000000"/>
                <w:sz w:val="24"/>
                <w:szCs w:val="24"/>
                <w:lang w:eastAsia="zh-CN"/>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A316086">
            <w:pPr>
              <w:spacing w:line="220" w:lineRule="atLeast"/>
              <w:jc w:val="left"/>
              <w:rPr>
                <w:rFonts w:hint="eastAsia" w:ascii="宋体" w:hAnsi="宋体" w:eastAsia="宋体" w:cs="仿宋"/>
                <w:color w:val="000000"/>
                <w:sz w:val="24"/>
                <w:szCs w:val="24"/>
                <w:lang w:eastAsia="zh-CN"/>
              </w:rPr>
            </w:pPr>
            <w:r>
              <w:rPr>
                <w:rFonts w:hint="eastAsia" w:ascii="宋体" w:hAnsi="宋体" w:cs="仿宋"/>
                <w:color w:val="000000"/>
                <w:sz w:val="24"/>
                <w:szCs w:val="24"/>
                <w:lang w:eastAsia="zh-CN"/>
              </w:rPr>
              <w:t>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F2F004B">
            <w:pPr>
              <w:pStyle w:val="13"/>
              <w:jc w:val="left"/>
              <w:rPr>
                <w:rFonts w:hint="eastAsia" w:eastAsia="宋体"/>
                <w:color w:val="000000"/>
                <w:sz w:val="24"/>
                <w:szCs w:val="24"/>
                <w:lang w:val="en-US" w:eastAsia="zh-CN"/>
              </w:rPr>
            </w:pPr>
            <w:r>
              <w:rPr>
                <w:rFonts w:hint="eastAsia"/>
                <w:color w:val="000000"/>
                <w:sz w:val="24"/>
                <w:szCs w:val="24"/>
                <w:lang w:val="en-US" w:eastAsia="zh-CN"/>
              </w:rPr>
              <w:t>数量（份）</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21BDE1A1">
            <w:pPr>
              <w:spacing w:line="220" w:lineRule="atLeast"/>
              <w:jc w:val="left"/>
              <w:rPr>
                <w:rFonts w:hint="eastAsia"/>
                <w:color w:val="000000"/>
                <w:sz w:val="24"/>
                <w:szCs w:val="24"/>
                <w:lang w:val="en-US" w:eastAsia="zh-CN"/>
              </w:rPr>
            </w:pPr>
            <w:r>
              <w:rPr>
                <w:rFonts w:hint="eastAsia" w:ascii="宋体" w:hAnsi="宋体" w:cs="仿宋"/>
                <w:color w:val="000000"/>
                <w:sz w:val="24"/>
                <w:szCs w:val="24"/>
              </w:rPr>
              <w:t>单价（元/</w:t>
            </w:r>
            <w:r>
              <w:rPr>
                <w:rFonts w:hint="eastAsia" w:ascii="宋体" w:hAnsi="宋体" w:cs="仿宋"/>
                <w:color w:val="000000"/>
                <w:sz w:val="24"/>
                <w:szCs w:val="24"/>
                <w:lang w:val="en-US" w:eastAsia="zh-CN"/>
              </w:rPr>
              <w:t>5L</w:t>
            </w:r>
            <w:r>
              <w:rPr>
                <w:rFonts w:hint="eastAsia" w:ascii="宋体" w:hAnsi="宋体" w:cs="仿宋"/>
                <w:color w:val="000000"/>
                <w:sz w:val="24"/>
                <w:szCs w:val="24"/>
              </w:rPr>
              <w:t>）</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16BDA517">
            <w:pPr>
              <w:spacing w:line="220" w:lineRule="atLeast"/>
              <w:jc w:val="left"/>
              <w:rPr>
                <w:rFonts w:hint="default"/>
                <w:color w:val="000000"/>
                <w:sz w:val="24"/>
                <w:szCs w:val="24"/>
                <w:lang w:val="en-US" w:eastAsia="zh-CN"/>
              </w:rPr>
            </w:pPr>
            <w:r>
              <w:rPr>
                <w:rFonts w:hint="eastAsia" w:ascii="宋体" w:hAnsi="宋体" w:cs="仿宋"/>
                <w:color w:val="000000"/>
                <w:sz w:val="24"/>
                <w:szCs w:val="24"/>
              </w:rPr>
              <w:t>总价（元）</w:t>
            </w:r>
            <w:r>
              <w:rPr>
                <w:rFonts w:hint="eastAsia"/>
                <w:color w:val="000000"/>
                <w:sz w:val="24"/>
                <w:szCs w:val="24"/>
                <w:lang w:val="en-US" w:eastAsia="zh-CN"/>
              </w:rPr>
              <w:t>=数量*单价</w:t>
            </w:r>
          </w:p>
        </w:tc>
      </w:tr>
      <w:tr w14:paraId="05E3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E38CDDD">
            <w:pPr>
              <w:spacing w:line="220" w:lineRule="atLeast"/>
              <w:jc w:val="center"/>
              <w:rPr>
                <w:rFonts w:hint="eastAsia" w:ascii="宋体" w:hAnsi="宋体" w:eastAsia="宋体" w:cs="仿宋"/>
                <w:color w:val="000000"/>
                <w:sz w:val="24"/>
                <w:szCs w:val="24"/>
                <w:lang w:eastAsia="zh-CN"/>
              </w:rPr>
            </w:pPr>
            <w:r>
              <w:rPr>
                <w:rFonts w:hint="eastAsia" w:ascii="宋体" w:hAnsi="宋体" w:cs="仿宋"/>
                <w:color w:val="000000"/>
                <w:sz w:val="24"/>
                <w:szCs w:val="24"/>
                <w:lang w:val="en-US" w:eastAsia="zh-CN"/>
              </w:rPr>
              <w:t>1</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7EC83BA6">
            <w:pPr>
              <w:spacing w:line="360" w:lineRule="auto"/>
              <w:jc w:val="center"/>
              <w:rPr>
                <w:rFonts w:hint="eastAsia" w:ascii="宋体" w:hAnsi="宋体" w:eastAsia="宋体" w:cs="仿宋"/>
                <w:color w:val="000000"/>
                <w:sz w:val="24"/>
                <w:szCs w:val="24"/>
                <w:lang w:eastAsia="zh-CN"/>
              </w:rPr>
            </w:pPr>
            <w:r>
              <w:rPr>
                <w:rFonts w:hint="eastAsia" w:ascii="宋体" w:hAnsi="宋体" w:cs="宋体"/>
                <w:color w:val="000000" w:themeColor="text1"/>
                <w:szCs w:val="21"/>
                <w:lang w:eastAsia="zh-CN"/>
              </w:rPr>
              <w:t>花生油</w:t>
            </w:r>
          </w:p>
        </w:tc>
        <w:tc>
          <w:tcPr>
            <w:tcW w:w="1301" w:type="dxa"/>
            <w:tcBorders>
              <w:top w:val="single" w:color="auto" w:sz="4" w:space="0"/>
              <w:left w:val="single" w:color="auto" w:sz="4" w:space="0"/>
              <w:bottom w:val="single" w:color="auto" w:sz="4" w:space="0"/>
              <w:right w:val="single" w:color="auto" w:sz="4" w:space="0"/>
            </w:tcBorders>
            <w:noWrap w:val="0"/>
            <w:vAlign w:val="center"/>
          </w:tcPr>
          <w:p w14:paraId="314B0AAD">
            <w:pPr>
              <w:spacing w:line="360" w:lineRule="auto"/>
              <w:jc w:val="center"/>
              <w:rPr>
                <w:rFonts w:hint="default" w:ascii="宋体" w:hAnsi="宋体" w:eastAsia="宋体" w:cs="仿宋"/>
                <w:color w:val="000000"/>
                <w:sz w:val="24"/>
                <w:szCs w:val="24"/>
                <w:lang w:val="en-US" w:eastAsia="zh-CN"/>
              </w:rPr>
            </w:pPr>
            <w:r>
              <w:rPr>
                <w:rFonts w:hint="default" w:ascii="宋体" w:hAnsi="宋体" w:eastAsia="宋体" w:cs="仿宋"/>
                <w:color w:val="000000"/>
                <w:sz w:val="24"/>
                <w:szCs w:val="24"/>
                <w:lang w:val="en-US" w:eastAsia="zh-CN"/>
              </w:rPr>
              <w:t>1196</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37C2C2BF">
            <w:pPr>
              <w:spacing w:line="220" w:lineRule="atLeast"/>
              <w:jc w:val="center"/>
              <w:rPr>
                <w:rFonts w:hint="eastAsia" w:ascii="宋体" w:hAnsi="宋体" w:cs="仿宋"/>
                <w:color w:val="000000"/>
                <w:sz w:val="24"/>
                <w:szCs w:val="24"/>
              </w:rPr>
            </w:pPr>
          </w:p>
        </w:tc>
        <w:tc>
          <w:tcPr>
            <w:tcW w:w="3229" w:type="dxa"/>
            <w:tcBorders>
              <w:top w:val="single" w:color="auto" w:sz="4" w:space="0"/>
              <w:left w:val="single" w:color="auto" w:sz="4" w:space="0"/>
              <w:bottom w:val="single" w:color="auto" w:sz="4" w:space="0"/>
              <w:right w:val="single" w:color="auto" w:sz="4" w:space="0"/>
            </w:tcBorders>
            <w:noWrap w:val="0"/>
            <w:vAlign w:val="center"/>
          </w:tcPr>
          <w:p w14:paraId="2FA0BE9E">
            <w:pPr>
              <w:spacing w:line="220" w:lineRule="atLeast"/>
              <w:jc w:val="center"/>
              <w:rPr>
                <w:rFonts w:hint="eastAsia" w:ascii="宋体" w:hAnsi="宋体" w:cs="仿宋"/>
                <w:color w:val="000000"/>
                <w:sz w:val="24"/>
                <w:szCs w:val="24"/>
              </w:rPr>
            </w:pPr>
          </w:p>
        </w:tc>
      </w:tr>
      <w:tr w14:paraId="1531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0" w:type="auto"/>
            <w:gridSpan w:val="4"/>
            <w:tcBorders>
              <w:top w:val="single" w:color="auto" w:sz="4" w:space="0"/>
              <w:left w:val="single" w:color="auto" w:sz="4" w:space="0"/>
              <w:bottom w:val="single" w:color="auto" w:sz="4" w:space="0"/>
              <w:right w:val="single" w:color="auto" w:sz="4" w:space="0"/>
            </w:tcBorders>
            <w:noWrap w:val="0"/>
            <w:vAlign w:val="center"/>
          </w:tcPr>
          <w:p w14:paraId="7A0AFE5E">
            <w:pPr>
              <w:spacing w:line="220" w:lineRule="atLeast"/>
              <w:jc w:val="left"/>
              <w:rPr>
                <w:rFonts w:hint="eastAsia" w:ascii="宋体" w:hAnsi="宋体" w:cs="仿宋"/>
                <w:color w:val="000000"/>
                <w:sz w:val="24"/>
                <w:szCs w:val="24"/>
              </w:rPr>
            </w:pPr>
            <w:r>
              <w:rPr>
                <w:rFonts w:hint="eastAsia" w:ascii="宋体" w:hAnsi="宋体" w:cs="仿宋"/>
                <w:color w:val="000000"/>
                <w:sz w:val="24"/>
                <w:szCs w:val="24"/>
              </w:rPr>
              <w:t>合计</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37095F7A">
            <w:pPr>
              <w:spacing w:line="220" w:lineRule="atLeast"/>
              <w:jc w:val="left"/>
              <w:rPr>
                <w:rFonts w:hint="eastAsia" w:ascii="宋体" w:hAnsi="宋体" w:cs="仿宋"/>
                <w:color w:val="000000"/>
                <w:sz w:val="24"/>
                <w:szCs w:val="24"/>
              </w:rPr>
            </w:pPr>
          </w:p>
        </w:tc>
      </w:tr>
      <w:tr w14:paraId="31F1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516" w:type="dxa"/>
            <w:gridSpan w:val="5"/>
            <w:tcBorders>
              <w:top w:val="single" w:color="auto" w:sz="4" w:space="0"/>
              <w:left w:val="single" w:color="auto" w:sz="4" w:space="0"/>
              <w:bottom w:val="single" w:color="auto" w:sz="4" w:space="0"/>
              <w:right w:val="single" w:color="auto" w:sz="4" w:space="0"/>
            </w:tcBorders>
            <w:noWrap w:val="0"/>
            <w:vAlign w:val="top"/>
          </w:tcPr>
          <w:p w14:paraId="124BD9DC">
            <w:pPr>
              <w:spacing w:line="220" w:lineRule="atLeast"/>
              <w:jc w:val="left"/>
              <w:rPr>
                <w:rFonts w:hint="eastAsia" w:ascii="宋体" w:hAnsi="宋体"/>
                <w:color w:val="000000"/>
                <w:sz w:val="24"/>
                <w:szCs w:val="24"/>
              </w:rPr>
            </w:pPr>
            <w:r>
              <w:rPr>
                <w:rFonts w:hint="eastAsia" w:ascii="宋体" w:hAnsi="宋体" w:cs="仿宋_GB2312"/>
                <w:color w:val="000000"/>
                <w:sz w:val="24"/>
                <w:szCs w:val="24"/>
              </w:rPr>
              <w:t>合计金额大写：人民币</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u w:val="single"/>
                <w:lang w:val="en-US" w:eastAsia="zh-CN"/>
              </w:rPr>
              <w:t xml:space="preserve">     </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w:t>
            </w:r>
          </w:p>
        </w:tc>
      </w:tr>
      <w:tr w14:paraId="2C2E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516" w:type="dxa"/>
            <w:gridSpan w:val="5"/>
            <w:tcBorders>
              <w:top w:val="single" w:color="auto" w:sz="4" w:space="0"/>
              <w:left w:val="single" w:color="auto" w:sz="4" w:space="0"/>
              <w:bottom w:val="single" w:color="auto" w:sz="4" w:space="0"/>
              <w:right w:val="single" w:color="auto" w:sz="4" w:space="0"/>
            </w:tcBorders>
            <w:noWrap w:val="0"/>
            <w:vAlign w:val="top"/>
          </w:tcPr>
          <w:p w14:paraId="50339B47">
            <w:pPr>
              <w:spacing w:line="220" w:lineRule="atLeast"/>
              <w:jc w:val="left"/>
              <w:rPr>
                <w:rFonts w:hint="default" w:ascii="宋体" w:hAnsi="宋体" w:eastAsia="宋体" w:cs="仿宋_GB2312"/>
                <w:color w:val="000000"/>
                <w:sz w:val="24"/>
                <w:szCs w:val="24"/>
                <w:lang w:val="en-US" w:eastAsia="zh-CN"/>
              </w:rPr>
            </w:pPr>
            <w:r>
              <w:rPr>
                <w:rFonts w:hint="eastAsia" w:ascii="宋体" w:hAnsi="宋体" w:cs="仿宋_GB2312"/>
                <w:color w:val="000000"/>
                <w:sz w:val="24"/>
                <w:szCs w:val="24"/>
                <w:lang w:eastAsia="zh-CN"/>
              </w:rPr>
              <w:t>供应商名称：</w:t>
            </w:r>
            <w:r>
              <w:rPr>
                <w:rFonts w:hint="eastAsia" w:ascii="宋体" w:hAnsi="宋体" w:cs="仿宋_GB2312"/>
                <w:color w:val="000000"/>
                <w:sz w:val="24"/>
                <w:szCs w:val="24"/>
                <w:lang w:val="en-US" w:eastAsia="zh-CN"/>
              </w:rPr>
              <w:t>xxx（公章）</w:t>
            </w:r>
          </w:p>
        </w:tc>
      </w:tr>
      <w:tr w14:paraId="370F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516" w:type="dxa"/>
            <w:gridSpan w:val="5"/>
            <w:tcBorders>
              <w:top w:val="single" w:color="auto" w:sz="4" w:space="0"/>
              <w:left w:val="single" w:color="auto" w:sz="4" w:space="0"/>
              <w:bottom w:val="single" w:color="auto" w:sz="4" w:space="0"/>
              <w:right w:val="single" w:color="auto" w:sz="4" w:space="0"/>
            </w:tcBorders>
            <w:noWrap w:val="0"/>
            <w:vAlign w:val="top"/>
          </w:tcPr>
          <w:p w14:paraId="6CE36D34">
            <w:pPr>
              <w:spacing w:line="220" w:lineRule="atLeast"/>
              <w:jc w:val="left"/>
              <w:rPr>
                <w:rFonts w:hint="eastAsia" w:ascii="宋体" w:hAnsi="宋体" w:cs="仿宋_GB2312"/>
                <w:color w:val="000000"/>
                <w:sz w:val="24"/>
                <w:szCs w:val="24"/>
                <w:lang w:eastAsia="zh-CN"/>
              </w:rPr>
            </w:pPr>
            <w:r>
              <w:rPr>
                <w:rFonts w:hint="eastAsia" w:ascii="宋体" w:hAnsi="宋体" w:cs="仿宋_GB2312"/>
                <w:color w:val="000000"/>
                <w:sz w:val="24"/>
                <w:szCs w:val="24"/>
                <w:lang w:eastAsia="zh-CN"/>
              </w:rPr>
              <w:t>备注：</w:t>
            </w:r>
          </w:p>
          <w:p w14:paraId="05DD333A">
            <w:pPr>
              <w:spacing w:line="220" w:lineRule="atLeast"/>
              <w:jc w:val="left"/>
              <w:rPr>
                <w:rFonts w:hint="eastAsia" w:ascii="宋体" w:hAnsi="宋体" w:cs="仿宋_GB2312"/>
                <w:color w:val="000000"/>
                <w:sz w:val="24"/>
                <w:szCs w:val="24"/>
                <w:lang w:eastAsia="zh-CN"/>
              </w:rPr>
            </w:pPr>
            <w:r>
              <w:rPr>
                <w:rFonts w:hint="eastAsia" w:ascii="宋体" w:hAnsi="宋体" w:cs="仿宋_GB2312"/>
                <w:color w:val="000000"/>
                <w:sz w:val="24"/>
                <w:szCs w:val="24"/>
                <w:lang w:eastAsia="zh-CN"/>
              </w:rPr>
              <w:t>有效报价范围：总价≤119600元，不满足则响应无效。</w:t>
            </w:r>
          </w:p>
        </w:tc>
      </w:tr>
    </w:tbl>
    <w:p w14:paraId="2ADCFBD7">
      <w:pPr>
        <w:spacing w:line="360" w:lineRule="auto"/>
        <w:ind w:right="-817" w:rightChars="-389" w:firstLine="2640" w:firstLineChars="1100"/>
        <w:contextualSpacing/>
        <w:rPr>
          <w:rFonts w:ascii="宋体" w:hAnsi="宋体" w:cs="仿宋_GB2312"/>
          <w:color w:val="000000"/>
          <w:sz w:val="24"/>
        </w:rPr>
      </w:pPr>
    </w:p>
    <w:p w14:paraId="1618B262">
      <w:pPr>
        <w:spacing w:line="360" w:lineRule="auto"/>
        <w:ind w:right="-817" w:rightChars="-389"/>
        <w:contextualSpacing/>
        <w:jc w:val="center"/>
        <w:rPr>
          <w:rFonts w:ascii="仿宋_GB2312" w:hAnsi="仿宋_GB2312" w:eastAsia="仿宋_GB2312" w:cs="仿宋_GB2312"/>
          <w:b/>
          <w:color w:val="000000"/>
          <w:sz w:val="32"/>
          <w:szCs w:val="32"/>
        </w:rPr>
      </w:pPr>
      <w:r>
        <w:rPr>
          <w:rFonts w:hint="eastAsia" w:ascii="宋体" w:hAnsi="宋体" w:cs="仿宋_GB2312"/>
          <w:color w:val="000000"/>
          <w:sz w:val="24"/>
          <w:lang w:val="en-US" w:eastAsia="zh-CN"/>
        </w:rPr>
        <w:t xml:space="preserve">       </w:t>
      </w:r>
      <w:r>
        <w:rPr>
          <w:rFonts w:hint="eastAsia" w:ascii="宋体" w:hAnsi="宋体" w:cs="仿宋_GB2312"/>
          <w:color w:val="000000"/>
          <w:sz w:val="24"/>
        </w:rPr>
        <w:t>日期：   年   月   日</w:t>
      </w:r>
    </w:p>
    <w:p w14:paraId="5B598548">
      <w:pPr>
        <w:sectPr>
          <w:pgSz w:w="11906" w:h="16838"/>
          <w:pgMar w:top="1418" w:right="1555" w:bottom="1418" w:left="1531" w:header="851" w:footer="992" w:gutter="0"/>
          <w:pgNumType w:fmt="decimal"/>
          <w:cols w:space="720" w:num="1"/>
          <w:titlePg/>
          <w:docGrid w:type="lines" w:linePitch="312" w:charSpace="0"/>
        </w:sectPr>
      </w:pPr>
    </w:p>
    <w:p w14:paraId="0F69B548">
      <w:pPr>
        <w:snapToGrid w:val="0"/>
        <w:spacing w:before="50" w:afterLines="50"/>
        <w:jc w:val="center"/>
        <w:rPr>
          <w:rFonts w:ascii="宋体" w:hAnsi="宋体" w:cs="宋体"/>
          <w:b/>
          <w:color w:val="000000"/>
          <w:sz w:val="32"/>
          <w:szCs w:val="32"/>
        </w:rPr>
      </w:pPr>
      <w:r>
        <w:rPr>
          <w:rFonts w:hint="eastAsia" w:ascii="宋体" w:hAnsi="宋体" w:cs="宋体"/>
          <w:b/>
          <w:color w:val="000000"/>
          <w:sz w:val="32"/>
          <w:szCs w:val="32"/>
        </w:rPr>
        <w:t>声明函</w:t>
      </w:r>
    </w:p>
    <w:p w14:paraId="41AC0277">
      <w:pPr>
        <w:tabs>
          <w:tab w:val="left" w:pos="7200"/>
        </w:tabs>
        <w:spacing w:line="360" w:lineRule="auto"/>
        <w:rPr>
          <w:rFonts w:ascii="宋体" w:hAnsi="宋体" w:cs="宋体"/>
          <w:color w:val="000000"/>
          <w:szCs w:val="21"/>
        </w:rPr>
      </w:pPr>
      <w:r>
        <w:rPr>
          <w:rFonts w:hint="eastAsia" w:ascii="宋体" w:hAnsi="宋体" w:cs="宋体"/>
          <w:color w:val="000000"/>
          <w:szCs w:val="21"/>
        </w:rPr>
        <w:t>致：_</w:t>
      </w:r>
      <w:r>
        <w:rPr>
          <w:rFonts w:hint="eastAsia" w:ascii="宋体" w:hAnsi="宋体" w:cs="宋体"/>
          <w:color w:val="000000"/>
          <w:szCs w:val="21"/>
          <w:u w:val="single"/>
        </w:rPr>
        <w:t xml:space="preserve">  广西医科大学第一附属医院 </w:t>
      </w:r>
    </w:p>
    <w:p w14:paraId="7FB23DAA">
      <w:pPr>
        <w:snapToGrid w:val="0"/>
        <w:ind w:firstLine="420" w:firstLineChars="200"/>
        <w:jc w:val="left"/>
        <w:rPr>
          <w:b/>
          <w:bCs/>
          <w:color w:val="000000"/>
          <w:szCs w:val="21"/>
          <w:u w:val="single"/>
        </w:rPr>
      </w:pPr>
      <w:r>
        <w:rPr>
          <w:rFonts w:hint="eastAsia" w:ascii="宋体" w:hAnsi="宋体" w:cs="宋体"/>
          <w:color w:val="000000"/>
          <w:szCs w:val="21"/>
        </w:rPr>
        <w:t>我方愿意参加贵方组织的</w:t>
      </w:r>
      <w:r>
        <w:rPr>
          <w:rFonts w:hint="eastAsia" w:ascii="宋体" w:hAnsi="宋体" w:cs="宋体"/>
          <w:color w:val="000000"/>
          <w:szCs w:val="21"/>
          <w:u w:val="single"/>
          <w:lang w:eastAsia="zh-CN"/>
        </w:rPr>
        <w:t>花生油</w:t>
      </w:r>
      <w:r>
        <w:rPr>
          <w:rFonts w:hint="eastAsia" w:ascii="宋体" w:hAnsi="宋体" w:cs="宋体"/>
          <w:color w:val="000000"/>
          <w:szCs w:val="21"/>
        </w:rPr>
        <w:t>项目的竞标，为便于贵方公正、择优地确定</w:t>
      </w:r>
      <w:r>
        <w:rPr>
          <w:rFonts w:hint="eastAsia" w:ascii="宋体" w:hAnsi="宋体" w:cs="宋体"/>
          <w:color w:val="000000"/>
          <w:szCs w:val="21"/>
          <w:lang w:eastAsia="zh-CN"/>
        </w:rPr>
        <w:t>供应商</w:t>
      </w:r>
      <w:r>
        <w:rPr>
          <w:rFonts w:hint="eastAsia" w:ascii="宋体" w:hAnsi="宋体" w:cs="宋体"/>
          <w:color w:val="000000"/>
          <w:szCs w:val="21"/>
        </w:rPr>
        <w:t>，我方声明如下：</w:t>
      </w:r>
    </w:p>
    <w:p w14:paraId="2C16B8C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1. 我方不是为本次采购项目提供整体设计、规范编制或者项目管理、监理、检测等货物的供应商；在获知本项目采购信息后，与采购人聘请的为此项目提供咨询货物的公司及其附属机构没有任何联系。其他关系详见“公司直接控股股东信息表”、“ 公司直接管理关系信息表”。 </w:t>
      </w:r>
    </w:p>
    <w:p w14:paraId="51FAC03E">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2.经查询，在“信用中国”和“中国政府采购网”网站我方未被列入失信被执行人、重大税收违法案件当事人名单、政府采购严重违法失信行为记录名单。</w:t>
      </w:r>
    </w:p>
    <w:p w14:paraId="2A284CAE">
      <w:pPr>
        <w:pStyle w:val="18"/>
        <w:spacing w:after="120"/>
        <w:ind w:firstLine="420" w:firstLineChars="200"/>
        <w:rPr>
          <w:rFonts w:cs="宋体"/>
          <w:color w:val="000000"/>
          <w:szCs w:val="21"/>
        </w:rPr>
      </w:pPr>
      <w:r>
        <w:rPr>
          <w:rFonts w:cs="宋体"/>
          <w:color w:val="000000"/>
          <w:sz w:val="21"/>
          <w:szCs w:val="21"/>
        </w:rPr>
        <w:t>3</w:t>
      </w:r>
      <w:r>
        <w:rPr>
          <w:rFonts w:hint="eastAsia" w:cs="宋体"/>
          <w:color w:val="000000"/>
          <w:sz w:val="21"/>
          <w:szCs w:val="21"/>
        </w:rPr>
        <w:t>、我方有以下行为之一的，同意贵方将我方列入不良行为记录：</w:t>
      </w:r>
      <w:r>
        <w:rPr>
          <w:rFonts w:cs="宋体"/>
          <w:color w:val="000000"/>
          <w:sz w:val="21"/>
          <w:szCs w:val="21"/>
        </w:rPr>
        <w:t xml:space="preserve"> </w:t>
      </w:r>
    </w:p>
    <w:p w14:paraId="694B18FE">
      <w:pPr>
        <w:pStyle w:val="18"/>
        <w:spacing w:after="120"/>
        <w:ind w:left="420" w:leftChars="200" w:firstLine="420" w:firstLineChars="200"/>
        <w:rPr>
          <w:rFonts w:cs="宋体"/>
          <w:color w:val="000000"/>
          <w:szCs w:val="21"/>
        </w:rPr>
      </w:pPr>
      <w:r>
        <w:rPr>
          <w:rFonts w:cs="宋体"/>
          <w:color w:val="000000"/>
          <w:sz w:val="21"/>
          <w:szCs w:val="21"/>
        </w:rPr>
        <w:t>1)</w:t>
      </w:r>
      <w:r>
        <w:rPr>
          <w:rFonts w:cs="宋体"/>
          <w:color w:val="000000"/>
          <w:sz w:val="21"/>
          <w:szCs w:val="21"/>
        </w:rPr>
        <w:tab/>
      </w:r>
      <w:r>
        <w:rPr>
          <w:rFonts w:hint="eastAsia" w:cs="宋体"/>
          <w:color w:val="000000"/>
          <w:sz w:val="21"/>
          <w:szCs w:val="21"/>
        </w:rPr>
        <w:t>提供虚假材料谋取中标、成交的。</w:t>
      </w:r>
      <w:r>
        <w:rPr>
          <w:rFonts w:cs="宋体"/>
          <w:color w:val="000000"/>
          <w:sz w:val="21"/>
          <w:szCs w:val="21"/>
        </w:rPr>
        <w:t xml:space="preserve"> </w:t>
      </w:r>
    </w:p>
    <w:p w14:paraId="49632361">
      <w:pPr>
        <w:pStyle w:val="18"/>
        <w:spacing w:after="120"/>
        <w:ind w:left="420" w:leftChars="200" w:firstLine="420" w:firstLineChars="200"/>
        <w:rPr>
          <w:rFonts w:cs="宋体"/>
          <w:color w:val="000000"/>
          <w:szCs w:val="21"/>
        </w:rPr>
      </w:pPr>
      <w:r>
        <w:rPr>
          <w:rFonts w:cs="宋体"/>
          <w:color w:val="000000"/>
          <w:sz w:val="21"/>
          <w:szCs w:val="21"/>
        </w:rPr>
        <w:t>2)</w:t>
      </w:r>
      <w:r>
        <w:rPr>
          <w:rFonts w:cs="宋体"/>
          <w:color w:val="000000"/>
          <w:sz w:val="21"/>
          <w:szCs w:val="21"/>
        </w:rPr>
        <w:tab/>
      </w:r>
      <w:r>
        <w:rPr>
          <w:rFonts w:hint="eastAsia" w:cs="宋体"/>
          <w:color w:val="000000"/>
          <w:sz w:val="21"/>
          <w:szCs w:val="21"/>
        </w:rPr>
        <w:t>采取不正当手段诋毁、排挤其他供应商的。</w:t>
      </w:r>
      <w:r>
        <w:rPr>
          <w:rFonts w:cs="宋体"/>
          <w:color w:val="000000"/>
          <w:sz w:val="21"/>
          <w:szCs w:val="21"/>
        </w:rPr>
        <w:t xml:space="preserve"> </w:t>
      </w:r>
    </w:p>
    <w:p w14:paraId="6E8F6EFE">
      <w:pPr>
        <w:pStyle w:val="18"/>
        <w:spacing w:after="120"/>
        <w:ind w:left="420" w:leftChars="200" w:firstLine="420" w:firstLineChars="200"/>
        <w:rPr>
          <w:rFonts w:cs="宋体"/>
          <w:color w:val="000000"/>
          <w:szCs w:val="21"/>
        </w:rPr>
      </w:pPr>
      <w:r>
        <w:rPr>
          <w:rFonts w:cs="宋体"/>
          <w:color w:val="000000"/>
          <w:sz w:val="21"/>
          <w:szCs w:val="21"/>
        </w:rPr>
        <w:t>3)</w:t>
      </w:r>
      <w:r>
        <w:rPr>
          <w:rFonts w:cs="宋体"/>
          <w:color w:val="000000"/>
          <w:sz w:val="21"/>
          <w:szCs w:val="21"/>
        </w:rPr>
        <w:tab/>
      </w:r>
      <w:r>
        <w:rPr>
          <w:rFonts w:hint="eastAsia" w:cs="宋体"/>
          <w:color w:val="000000"/>
          <w:sz w:val="21"/>
          <w:szCs w:val="21"/>
        </w:rPr>
        <w:t>与我院工作人员、其他供应商或者招标代理机构恶意串通的。</w:t>
      </w:r>
      <w:r>
        <w:rPr>
          <w:rFonts w:cs="宋体"/>
          <w:color w:val="000000"/>
          <w:sz w:val="21"/>
          <w:szCs w:val="21"/>
        </w:rPr>
        <w:t xml:space="preserve"> </w:t>
      </w:r>
    </w:p>
    <w:p w14:paraId="609FCECC">
      <w:pPr>
        <w:pStyle w:val="18"/>
        <w:spacing w:after="120"/>
        <w:ind w:left="420" w:leftChars="200" w:firstLine="420" w:firstLineChars="200"/>
        <w:rPr>
          <w:rFonts w:cs="宋体"/>
          <w:color w:val="000000"/>
          <w:szCs w:val="21"/>
        </w:rPr>
      </w:pPr>
      <w:r>
        <w:rPr>
          <w:rFonts w:cs="宋体"/>
          <w:color w:val="000000"/>
          <w:sz w:val="21"/>
          <w:szCs w:val="21"/>
        </w:rPr>
        <w:t>4)</w:t>
      </w:r>
      <w:r>
        <w:rPr>
          <w:rFonts w:cs="宋体"/>
          <w:color w:val="000000"/>
          <w:sz w:val="21"/>
          <w:szCs w:val="21"/>
        </w:rPr>
        <w:tab/>
      </w:r>
      <w:r>
        <w:rPr>
          <w:rFonts w:hint="eastAsia" w:cs="宋体"/>
          <w:color w:val="000000"/>
          <w:sz w:val="21"/>
          <w:szCs w:val="21"/>
        </w:rPr>
        <w:t>向我院工作人员、招标代理机构行贿或者提供其他不正当利益的。</w:t>
      </w:r>
      <w:r>
        <w:rPr>
          <w:rFonts w:cs="宋体"/>
          <w:color w:val="000000"/>
          <w:sz w:val="21"/>
          <w:szCs w:val="21"/>
        </w:rPr>
        <w:t xml:space="preserve"> </w:t>
      </w:r>
    </w:p>
    <w:p w14:paraId="66D77C1F">
      <w:pPr>
        <w:pStyle w:val="18"/>
        <w:spacing w:after="120"/>
        <w:ind w:left="420" w:leftChars="200" w:firstLine="420" w:firstLineChars="200"/>
        <w:rPr>
          <w:rFonts w:cs="宋体"/>
          <w:color w:val="000000"/>
          <w:szCs w:val="21"/>
        </w:rPr>
      </w:pPr>
      <w:r>
        <w:rPr>
          <w:rFonts w:cs="宋体"/>
          <w:color w:val="000000"/>
          <w:sz w:val="21"/>
          <w:szCs w:val="21"/>
        </w:rPr>
        <w:t>5)</w:t>
      </w:r>
      <w:r>
        <w:rPr>
          <w:rFonts w:cs="宋体"/>
          <w:color w:val="000000"/>
          <w:sz w:val="21"/>
          <w:szCs w:val="21"/>
        </w:rPr>
        <w:tab/>
      </w:r>
      <w:r>
        <w:rPr>
          <w:rFonts w:hint="eastAsia" w:cs="宋体"/>
          <w:color w:val="000000"/>
          <w:sz w:val="21"/>
          <w:szCs w:val="21"/>
        </w:rPr>
        <w:t>在招标采购过程中与采购人进行协商谈判的。</w:t>
      </w:r>
      <w:r>
        <w:rPr>
          <w:rFonts w:cs="宋体"/>
          <w:color w:val="000000"/>
          <w:sz w:val="21"/>
          <w:szCs w:val="21"/>
        </w:rPr>
        <w:t xml:space="preserve"> </w:t>
      </w:r>
    </w:p>
    <w:p w14:paraId="2E8FB5F6">
      <w:pPr>
        <w:pStyle w:val="18"/>
        <w:spacing w:after="120"/>
        <w:ind w:left="420" w:leftChars="200" w:firstLine="420" w:firstLineChars="200"/>
        <w:rPr>
          <w:rFonts w:cs="宋体"/>
          <w:color w:val="000000"/>
          <w:szCs w:val="21"/>
        </w:rPr>
      </w:pPr>
      <w:r>
        <w:rPr>
          <w:rFonts w:cs="宋体"/>
          <w:color w:val="000000"/>
          <w:sz w:val="21"/>
          <w:szCs w:val="21"/>
        </w:rPr>
        <w:t>6)</w:t>
      </w:r>
      <w:r>
        <w:rPr>
          <w:rFonts w:cs="宋体"/>
          <w:color w:val="000000"/>
          <w:sz w:val="21"/>
          <w:szCs w:val="21"/>
        </w:rPr>
        <w:tab/>
      </w:r>
      <w:r>
        <w:rPr>
          <w:rFonts w:hint="eastAsia" w:cs="宋体"/>
          <w:color w:val="000000"/>
          <w:sz w:val="21"/>
          <w:szCs w:val="21"/>
        </w:rPr>
        <w:t>拒绝有关部门监督检查或者提供虚假情况的。</w:t>
      </w:r>
      <w:r>
        <w:rPr>
          <w:rFonts w:cs="宋体"/>
          <w:color w:val="000000"/>
          <w:sz w:val="21"/>
          <w:szCs w:val="21"/>
        </w:rPr>
        <w:t xml:space="preserve"> </w:t>
      </w:r>
    </w:p>
    <w:p w14:paraId="31B05D1B">
      <w:pPr>
        <w:pStyle w:val="18"/>
        <w:spacing w:after="120"/>
        <w:ind w:left="420" w:leftChars="200" w:firstLine="420" w:firstLineChars="200"/>
        <w:rPr>
          <w:rFonts w:cs="宋体"/>
          <w:color w:val="000000"/>
          <w:szCs w:val="21"/>
        </w:rPr>
      </w:pPr>
      <w:r>
        <w:rPr>
          <w:rFonts w:cs="宋体"/>
          <w:color w:val="000000"/>
          <w:sz w:val="21"/>
          <w:szCs w:val="21"/>
        </w:rPr>
        <w:t>7)</w:t>
      </w:r>
      <w:r>
        <w:rPr>
          <w:rFonts w:cs="宋体"/>
          <w:color w:val="000000"/>
          <w:sz w:val="21"/>
          <w:szCs w:val="21"/>
        </w:rPr>
        <w:tab/>
      </w:r>
      <w:r>
        <w:rPr>
          <w:rFonts w:hint="eastAsia" w:cs="宋体"/>
          <w:color w:val="000000"/>
          <w:sz w:val="21"/>
          <w:szCs w:val="21"/>
        </w:rPr>
        <w:t>供应商向采购小组、竞争性谈判小组或者询价小组成员行贿或者提供其他不正当利益。</w:t>
      </w:r>
      <w:r>
        <w:rPr>
          <w:rFonts w:cs="宋体"/>
          <w:color w:val="000000"/>
          <w:sz w:val="21"/>
          <w:szCs w:val="21"/>
        </w:rPr>
        <w:t xml:space="preserve"> </w:t>
      </w:r>
    </w:p>
    <w:p w14:paraId="69CD0740">
      <w:pPr>
        <w:pStyle w:val="18"/>
        <w:spacing w:after="120"/>
        <w:ind w:left="420" w:leftChars="200" w:firstLine="420" w:firstLineChars="200"/>
        <w:rPr>
          <w:rFonts w:cs="宋体"/>
          <w:color w:val="000000"/>
          <w:szCs w:val="21"/>
        </w:rPr>
      </w:pPr>
      <w:r>
        <w:rPr>
          <w:rFonts w:cs="宋体"/>
          <w:color w:val="000000"/>
          <w:sz w:val="21"/>
          <w:szCs w:val="21"/>
        </w:rPr>
        <w:t>8)</w:t>
      </w:r>
      <w:r>
        <w:rPr>
          <w:rFonts w:cs="宋体"/>
          <w:color w:val="000000"/>
          <w:sz w:val="21"/>
          <w:szCs w:val="21"/>
        </w:rPr>
        <w:tab/>
      </w:r>
      <w:r>
        <w:rPr>
          <w:rFonts w:hint="eastAsia" w:cs="宋体"/>
          <w:color w:val="000000"/>
          <w:sz w:val="21"/>
          <w:szCs w:val="21"/>
        </w:rPr>
        <w:t>中标或者成交后无正当理由拒不与我院签订采购合同。</w:t>
      </w:r>
      <w:r>
        <w:rPr>
          <w:rFonts w:cs="宋体"/>
          <w:color w:val="000000"/>
          <w:sz w:val="21"/>
          <w:szCs w:val="21"/>
        </w:rPr>
        <w:t xml:space="preserve"> </w:t>
      </w:r>
    </w:p>
    <w:p w14:paraId="48E3CBEF">
      <w:pPr>
        <w:pStyle w:val="18"/>
        <w:spacing w:after="120"/>
        <w:ind w:left="420" w:leftChars="200" w:firstLine="420" w:firstLineChars="200"/>
        <w:rPr>
          <w:rFonts w:cs="宋体"/>
          <w:color w:val="000000"/>
          <w:szCs w:val="21"/>
        </w:rPr>
      </w:pPr>
      <w:r>
        <w:rPr>
          <w:rFonts w:cs="宋体"/>
          <w:color w:val="000000"/>
          <w:sz w:val="21"/>
          <w:szCs w:val="21"/>
        </w:rPr>
        <w:t>9)</w:t>
      </w:r>
      <w:r>
        <w:rPr>
          <w:rFonts w:cs="宋体"/>
          <w:color w:val="000000"/>
          <w:sz w:val="21"/>
          <w:szCs w:val="21"/>
        </w:rPr>
        <w:tab/>
      </w:r>
      <w:r>
        <w:rPr>
          <w:rFonts w:hint="eastAsia" w:cs="宋体"/>
          <w:color w:val="000000"/>
          <w:sz w:val="21"/>
          <w:szCs w:val="21"/>
        </w:rPr>
        <w:t>供应商将采购合同分包、转包（采购合同未禁止分包、</w:t>
      </w:r>
      <w:r>
        <w:rPr>
          <w:rFonts w:cs="宋体"/>
          <w:color w:val="000000"/>
          <w:sz w:val="21"/>
          <w:szCs w:val="21"/>
        </w:rPr>
        <w:t xml:space="preserve"> </w:t>
      </w:r>
      <w:r>
        <w:rPr>
          <w:rFonts w:hint="eastAsia" w:cs="宋体"/>
          <w:color w:val="000000"/>
          <w:sz w:val="21"/>
          <w:szCs w:val="21"/>
        </w:rPr>
        <w:t>转包的除外）。</w:t>
      </w:r>
      <w:r>
        <w:rPr>
          <w:rFonts w:cs="宋体"/>
          <w:color w:val="000000"/>
          <w:sz w:val="21"/>
          <w:szCs w:val="21"/>
        </w:rPr>
        <w:t xml:space="preserve"> </w:t>
      </w:r>
    </w:p>
    <w:p w14:paraId="60F8CEFE">
      <w:pPr>
        <w:pStyle w:val="18"/>
        <w:spacing w:after="120"/>
        <w:ind w:left="420" w:leftChars="200" w:firstLine="420" w:firstLineChars="200"/>
        <w:rPr>
          <w:rFonts w:cs="宋体"/>
          <w:color w:val="000000"/>
          <w:szCs w:val="21"/>
        </w:rPr>
      </w:pPr>
      <w:r>
        <w:rPr>
          <w:rFonts w:cs="宋体"/>
          <w:color w:val="000000"/>
          <w:sz w:val="21"/>
          <w:szCs w:val="21"/>
        </w:rPr>
        <w:t>10)</w:t>
      </w:r>
      <w:r>
        <w:rPr>
          <w:rFonts w:cs="宋体"/>
          <w:color w:val="000000"/>
          <w:sz w:val="21"/>
          <w:szCs w:val="21"/>
        </w:rPr>
        <w:tab/>
      </w:r>
      <w:r>
        <w:rPr>
          <w:rFonts w:hint="eastAsia" w:cs="宋体"/>
          <w:color w:val="000000"/>
          <w:sz w:val="21"/>
          <w:szCs w:val="21"/>
        </w:rPr>
        <w:t>供应商提供假冒伪劣产品。</w:t>
      </w:r>
      <w:r>
        <w:rPr>
          <w:rFonts w:cs="宋体"/>
          <w:color w:val="000000"/>
          <w:sz w:val="21"/>
          <w:szCs w:val="21"/>
        </w:rPr>
        <w:t xml:space="preserve"> </w:t>
      </w:r>
    </w:p>
    <w:p w14:paraId="0051B4A7">
      <w:pPr>
        <w:pStyle w:val="18"/>
        <w:spacing w:after="120"/>
        <w:ind w:left="420" w:leftChars="200" w:firstLine="420" w:firstLineChars="200"/>
        <w:rPr>
          <w:rFonts w:cs="宋体"/>
          <w:color w:val="000000"/>
          <w:szCs w:val="21"/>
        </w:rPr>
      </w:pPr>
      <w:r>
        <w:rPr>
          <w:rFonts w:cs="宋体"/>
          <w:color w:val="000000"/>
          <w:sz w:val="21"/>
          <w:szCs w:val="21"/>
        </w:rPr>
        <w:t>11)</w:t>
      </w:r>
      <w:r>
        <w:rPr>
          <w:rFonts w:cs="宋体"/>
          <w:color w:val="000000"/>
          <w:sz w:val="21"/>
          <w:szCs w:val="21"/>
        </w:rPr>
        <w:tab/>
      </w:r>
      <w:r>
        <w:rPr>
          <w:rFonts w:hint="eastAsia" w:cs="宋体"/>
          <w:color w:val="000000"/>
          <w:sz w:val="21"/>
          <w:szCs w:val="21"/>
        </w:rPr>
        <w:t>供应商捏造事实、提供虚假材料或者以非法手段取得证明材料进行投诉的。</w:t>
      </w:r>
      <w:r>
        <w:rPr>
          <w:rFonts w:cs="宋体"/>
          <w:color w:val="000000"/>
          <w:sz w:val="21"/>
          <w:szCs w:val="21"/>
        </w:rPr>
        <w:t xml:space="preserve"> </w:t>
      </w:r>
    </w:p>
    <w:p w14:paraId="1B7BFAE5">
      <w:pPr>
        <w:pStyle w:val="18"/>
        <w:spacing w:after="120"/>
        <w:ind w:left="420" w:leftChars="200" w:firstLine="420" w:firstLineChars="200"/>
        <w:rPr>
          <w:rFonts w:cs="宋体"/>
          <w:color w:val="000000"/>
          <w:szCs w:val="21"/>
        </w:rPr>
      </w:pPr>
      <w:r>
        <w:rPr>
          <w:rFonts w:cs="宋体"/>
          <w:color w:val="000000"/>
          <w:sz w:val="21"/>
          <w:szCs w:val="21"/>
        </w:rPr>
        <w:t>12)</w:t>
      </w:r>
      <w:r>
        <w:rPr>
          <w:rFonts w:cs="宋体"/>
          <w:color w:val="000000"/>
          <w:sz w:val="21"/>
          <w:szCs w:val="21"/>
        </w:rPr>
        <w:tab/>
      </w:r>
      <w:r>
        <w:rPr>
          <w:rFonts w:hint="eastAsia" w:cs="宋体"/>
          <w:color w:val="000000"/>
          <w:sz w:val="21"/>
          <w:szCs w:val="21"/>
        </w:rPr>
        <w:t>供应商擅自变更、中止或者终止采购合同。</w:t>
      </w:r>
      <w:r>
        <w:rPr>
          <w:rFonts w:cs="宋体"/>
          <w:color w:val="000000"/>
          <w:sz w:val="21"/>
          <w:szCs w:val="21"/>
        </w:rPr>
        <w:t xml:space="preserve"> </w:t>
      </w:r>
    </w:p>
    <w:p w14:paraId="4D136635">
      <w:pPr>
        <w:pStyle w:val="18"/>
        <w:spacing w:after="120"/>
        <w:ind w:left="420" w:leftChars="200" w:firstLine="420" w:firstLineChars="200"/>
        <w:rPr>
          <w:rFonts w:cs="宋体"/>
          <w:color w:val="000000"/>
          <w:szCs w:val="21"/>
        </w:rPr>
      </w:pPr>
      <w:r>
        <w:rPr>
          <w:rFonts w:cs="宋体"/>
          <w:color w:val="000000"/>
          <w:sz w:val="21"/>
          <w:szCs w:val="21"/>
        </w:rPr>
        <w:t>13)</w:t>
      </w:r>
      <w:r>
        <w:rPr>
          <w:rFonts w:cs="宋体"/>
          <w:color w:val="000000"/>
          <w:sz w:val="21"/>
          <w:szCs w:val="21"/>
        </w:rPr>
        <w:tab/>
      </w:r>
      <w:r>
        <w:rPr>
          <w:rFonts w:hint="eastAsia" w:cs="宋体"/>
          <w:color w:val="000000"/>
          <w:sz w:val="21"/>
          <w:szCs w:val="21"/>
        </w:rPr>
        <w:t>供应商直接或者间接从我院工作人员或者采购代理机构处获得其他供应商的相关情况并修改其报价文件或者响应文件。</w:t>
      </w:r>
      <w:r>
        <w:rPr>
          <w:rFonts w:cs="宋体"/>
          <w:color w:val="000000"/>
          <w:sz w:val="21"/>
          <w:szCs w:val="21"/>
        </w:rPr>
        <w:t xml:space="preserve"> </w:t>
      </w:r>
    </w:p>
    <w:p w14:paraId="1FB79315">
      <w:pPr>
        <w:pStyle w:val="18"/>
        <w:spacing w:after="120"/>
        <w:ind w:left="420" w:leftChars="200" w:firstLine="420" w:firstLineChars="200"/>
        <w:rPr>
          <w:rFonts w:cs="宋体"/>
          <w:color w:val="000000"/>
          <w:szCs w:val="21"/>
        </w:rPr>
      </w:pPr>
      <w:r>
        <w:rPr>
          <w:rFonts w:cs="宋体"/>
          <w:color w:val="000000"/>
          <w:sz w:val="21"/>
          <w:szCs w:val="21"/>
        </w:rPr>
        <w:t>14)</w:t>
      </w:r>
      <w:r>
        <w:rPr>
          <w:rFonts w:cs="宋体"/>
          <w:color w:val="000000"/>
          <w:sz w:val="21"/>
          <w:szCs w:val="21"/>
        </w:rPr>
        <w:tab/>
      </w:r>
      <w:r>
        <w:rPr>
          <w:rFonts w:hint="eastAsia" w:cs="宋体"/>
          <w:color w:val="000000"/>
          <w:sz w:val="21"/>
          <w:szCs w:val="21"/>
        </w:rPr>
        <w:t>供应商按照我院或者采购代理机构的授意撤换、修改报价文件或者响应文件。</w:t>
      </w:r>
      <w:r>
        <w:rPr>
          <w:rFonts w:cs="宋体"/>
          <w:color w:val="000000"/>
          <w:sz w:val="21"/>
          <w:szCs w:val="21"/>
        </w:rPr>
        <w:t xml:space="preserve"> </w:t>
      </w:r>
    </w:p>
    <w:p w14:paraId="016DD7E7">
      <w:pPr>
        <w:pStyle w:val="18"/>
        <w:spacing w:after="120"/>
        <w:ind w:left="420" w:leftChars="200" w:firstLine="420" w:firstLineChars="200"/>
        <w:rPr>
          <w:rFonts w:cs="宋体"/>
          <w:color w:val="000000"/>
          <w:szCs w:val="21"/>
        </w:rPr>
      </w:pPr>
      <w:r>
        <w:rPr>
          <w:rFonts w:cs="宋体"/>
          <w:color w:val="000000"/>
          <w:sz w:val="21"/>
          <w:szCs w:val="21"/>
        </w:rPr>
        <w:t>15)</w:t>
      </w:r>
      <w:r>
        <w:rPr>
          <w:rFonts w:cs="宋体"/>
          <w:color w:val="000000"/>
          <w:sz w:val="21"/>
          <w:szCs w:val="21"/>
        </w:rPr>
        <w:tab/>
      </w:r>
      <w:r>
        <w:rPr>
          <w:rFonts w:hint="eastAsia" w:cs="宋体"/>
          <w:color w:val="000000"/>
          <w:sz w:val="21"/>
          <w:szCs w:val="21"/>
        </w:rPr>
        <w:t>供应商之间协商报价、技术方案等报价文件或者响应文件的实质性内容。</w:t>
      </w:r>
      <w:r>
        <w:rPr>
          <w:rFonts w:cs="宋体"/>
          <w:color w:val="000000"/>
          <w:sz w:val="21"/>
          <w:szCs w:val="21"/>
        </w:rPr>
        <w:t xml:space="preserve"> </w:t>
      </w:r>
    </w:p>
    <w:p w14:paraId="2D8FC242">
      <w:pPr>
        <w:pStyle w:val="18"/>
        <w:spacing w:after="120"/>
        <w:ind w:left="420" w:leftChars="200" w:firstLine="420" w:firstLineChars="200"/>
        <w:rPr>
          <w:rFonts w:cs="宋体"/>
          <w:color w:val="000000"/>
          <w:szCs w:val="21"/>
        </w:rPr>
      </w:pPr>
      <w:r>
        <w:rPr>
          <w:rFonts w:cs="宋体"/>
          <w:color w:val="000000"/>
          <w:sz w:val="21"/>
          <w:szCs w:val="21"/>
        </w:rPr>
        <w:t>16)</w:t>
      </w:r>
      <w:r>
        <w:rPr>
          <w:rFonts w:cs="宋体"/>
          <w:color w:val="000000"/>
          <w:sz w:val="21"/>
          <w:szCs w:val="21"/>
        </w:rPr>
        <w:tab/>
      </w:r>
      <w:r>
        <w:rPr>
          <w:rFonts w:hint="eastAsia" w:cs="宋体"/>
          <w:color w:val="000000"/>
          <w:sz w:val="21"/>
          <w:szCs w:val="21"/>
        </w:rPr>
        <w:t>属于同一集团、协会、商会等组织成员的供应商按照该组织要求协同参加采购活动。</w:t>
      </w:r>
      <w:r>
        <w:rPr>
          <w:rFonts w:cs="宋体"/>
          <w:color w:val="000000"/>
          <w:sz w:val="21"/>
          <w:szCs w:val="21"/>
        </w:rPr>
        <w:t xml:space="preserve"> </w:t>
      </w:r>
    </w:p>
    <w:p w14:paraId="1088462F">
      <w:pPr>
        <w:pStyle w:val="18"/>
        <w:spacing w:after="120"/>
        <w:ind w:left="420" w:leftChars="200" w:firstLine="420" w:firstLineChars="200"/>
        <w:rPr>
          <w:rFonts w:cs="宋体"/>
          <w:color w:val="000000"/>
          <w:szCs w:val="21"/>
        </w:rPr>
      </w:pPr>
      <w:r>
        <w:rPr>
          <w:rFonts w:cs="宋体"/>
          <w:color w:val="000000"/>
          <w:sz w:val="21"/>
          <w:szCs w:val="21"/>
        </w:rPr>
        <w:t>17)</w:t>
      </w:r>
      <w:r>
        <w:rPr>
          <w:rFonts w:cs="宋体"/>
          <w:color w:val="000000"/>
          <w:sz w:val="21"/>
          <w:szCs w:val="21"/>
        </w:rPr>
        <w:tab/>
      </w:r>
      <w:r>
        <w:rPr>
          <w:rFonts w:hint="eastAsia" w:cs="宋体"/>
          <w:color w:val="000000"/>
          <w:sz w:val="21"/>
          <w:szCs w:val="21"/>
        </w:rPr>
        <w:t>供应商之间事先约定由某一特定供应商中标、成交。</w:t>
      </w:r>
      <w:r>
        <w:rPr>
          <w:rFonts w:cs="宋体"/>
          <w:color w:val="000000"/>
          <w:sz w:val="21"/>
          <w:szCs w:val="21"/>
        </w:rPr>
        <w:t xml:space="preserve"> </w:t>
      </w:r>
    </w:p>
    <w:p w14:paraId="5FE2B90D">
      <w:pPr>
        <w:pStyle w:val="18"/>
        <w:spacing w:after="120"/>
        <w:ind w:left="420" w:leftChars="200" w:firstLine="420" w:firstLineChars="200"/>
        <w:rPr>
          <w:rFonts w:cs="宋体"/>
          <w:color w:val="000000"/>
          <w:szCs w:val="21"/>
        </w:rPr>
      </w:pPr>
      <w:r>
        <w:rPr>
          <w:rFonts w:cs="宋体"/>
          <w:color w:val="000000"/>
          <w:sz w:val="21"/>
          <w:szCs w:val="21"/>
        </w:rPr>
        <w:t>18)</w:t>
      </w:r>
      <w:r>
        <w:rPr>
          <w:rFonts w:cs="宋体"/>
          <w:color w:val="000000"/>
          <w:sz w:val="21"/>
          <w:szCs w:val="21"/>
        </w:rPr>
        <w:tab/>
      </w:r>
      <w:r>
        <w:rPr>
          <w:rFonts w:hint="eastAsia" w:cs="宋体"/>
          <w:color w:val="000000"/>
          <w:sz w:val="21"/>
          <w:szCs w:val="21"/>
        </w:rPr>
        <w:t>供应商之间商定部分供应商放弃参加采购活动或者放弃中标、成交。</w:t>
      </w:r>
      <w:r>
        <w:rPr>
          <w:rFonts w:cs="宋体"/>
          <w:color w:val="000000"/>
          <w:sz w:val="21"/>
          <w:szCs w:val="21"/>
        </w:rPr>
        <w:t xml:space="preserve"> </w:t>
      </w:r>
    </w:p>
    <w:p w14:paraId="7C4A6A35">
      <w:pPr>
        <w:pStyle w:val="18"/>
        <w:spacing w:after="120"/>
        <w:ind w:left="420" w:leftChars="200" w:firstLine="420" w:firstLineChars="200"/>
        <w:rPr>
          <w:rFonts w:cs="宋体"/>
          <w:color w:val="000000"/>
          <w:szCs w:val="21"/>
        </w:rPr>
      </w:pPr>
      <w:r>
        <w:rPr>
          <w:rFonts w:cs="宋体"/>
          <w:color w:val="000000"/>
          <w:sz w:val="21"/>
          <w:szCs w:val="21"/>
        </w:rPr>
        <w:t>19)</w:t>
      </w:r>
      <w:r>
        <w:rPr>
          <w:rFonts w:cs="宋体"/>
          <w:color w:val="000000"/>
          <w:sz w:val="21"/>
          <w:szCs w:val="21"/>
        </w:rPr>
        <w:tab/>
      </w:r>
      <w:r>
        <w:rPr>
          <w:rFonts w:hint="eastAsia" w:cs="宋体"/>
          <w:color w:val="000000"/>
          <w:sz w:val="21"/>
          <w:szCs w:val="21"/>
        </w:rPr>
        <w:t>供应商与我院或者采购代理机构之间、供应商相互之间，为谋求特定供应商中标、成交或者排斥其他供应商的其他串通行为。</w:t>
      </w:r>
      <w:r>
        <w:rPr>
          <w:rFonts w:cs="宋体"/>
          <w:color w:val="000000"/>
          <w:sz w:val="21"/>
          <w:szCs w:val="21"/>
        </w:rPr>
        <w:t xml:space="preserve"> </w:t>
      </w:r>
    </w:p>
    <w:p w14:paraId="0B49BC2F">
      <w:pPr>
        <w:pStyle w:val="18"/>
        <w:spacing w:after="120"/>
        <w:ind w:left="420" w:leftChars="200" w:firstLine="420" w:firstLineChars="200"/>
        <w:rPr>
          <w:rFonts w:cs="宋体"/>
          <w:color w:val="000000"/>
          <w:szCs w:val="21"/>
        </w:rPr>
      </w:pPr>
      <w:r>
        <w:rPr>
          <w:rFonts w:cs="宋体"/>
          <w:color w:val="000000"/>
          <w:sz w:val="21"/>
          <w:szCs w:val="21"/>
        </w:rPr>
        <w:t>20)</w:t>
      </w:r>
      <w:r>
        <w:rPr>
          <w:rFonts w:cs="宋体"/>
          <w:color w:val="000000"/>
          <w:sz w:val="21"/>
          <w:szCs w:val="21"/>
        </w:rPr>
        <w:tab/>
      </w:r>
      <w:r>
        <w:rPr>
          <w:rFonts w:hint="eastAsia" w:cs="宋体"/>
          <w:color w:val="000000"/>
          <w:sz w:val="21"/>
          <w:szCs w:val="21"/>
        </w:rPr>
        <w:t>在购销活动中给予医务人员“红包”“回扣”“提成”</w:t>
      </w:r>
      <w:r>
        <w:rPr>
          <w:rFonts w:cs="宋体"/>
          <w:color w:val="000000"/>
          <w:sz w:val="21"/>
          <w:szCs w:val="21"/>
        </w:rPr>
        <w:t xml:space="preserve"> </w:t>
      </w:r>
      <w:r>
        <w:rPr>
          <w:rFonts w:hint="eastAsia" w:cs="宋体"/>
          <w:color w:val="000000"/>
          <w:sz w:val="21"/>
          <w:szCs w:val="21"/>
        </w:rPr>
        <w:t>或任何形式的不当利益的。</w:t>
      </w:r>
      <w:r>
        <w:rPr>
          <w:rFonts w:cs="宋体"/>
          <w:color w:val="000000"/>
          <w:sz w:val="21"/>
          <w:szCs w:val="21"/>
        </w:rPr>
        <w:t xml:space="preserve"> </w:t>
      </w:r>
    </w:p>
    <w:p w14:paraId="5CD4D5AA">
      <w:pPr>
        <w:pStyle w:val="18"/>
        <w:spacing w:after="120"/>
        <w:ind w:left="420" w:leftChars="200" w:firstLine="420" w:firstLineChars="200"/>
        <w:rPr>
          <w:rFonts w:cs="宋体"/>
          <w:color w:val="000000"/>
          <w:szCs w:val="21"/>
        </w:rPr>
      </w:pPr>
      <w:r>
        <w:rPr>
          <w:rFonts w:cs="宋体"/>
          <w:color w:val="000000"/>
          <w:sz w:val="21"/>
          <w:szCs w:val="21"/>
        </w:rPr>
        <w:t>21)</w:t>
      </w:r>
      <w:r>
        <w:rPr>
          <w:rFonts w:cs="宋体"/>
          <w:color w:val="000000"/>
          <w:sz w:val="21"/>
          <w:szCs w:val="21"/>
        </w:rPr>
        <w:tab/>
      </w:r>
      <w:r>
        <w:rPr>
          <w:rFonts w:hint="eastAsia" w:cs="宋体"/>
          <w:color w:val="000000"/>
          <w:sz w:val="21"/>
          <w:szCs w:val="21"/>
        </w:rPr>
        <w:t>所经销的货物质量有问题，且不积极配合医院相关部门处理的。</w:t>
      </w:r>
      <w:r>
        <w:rPr>
          <w:rFonts w:cs="宋体"/>
          <w:color w:val="000000"/>
          <w:sz w:val="21"/>
          <w:szCs w:val="21"/>
        </w:rPr>
        <w:t xml:space="preserve"> </w:t>
      </w:r>
    </w:p>
    <w:p w14:paraId="46E75807">
      <w:pPr>
        <w:pStyle w:val="18"/>
        <w:spacing w:after="120"/>
        <w:ind w:left="420" w:leftChars="200" w:firstLine="420" w:firstLineChars="200"/>
        <w:rPr>
          <w:rFonts w:cs="宋体"/>
          <w:color w:val="000000"/>
          <w:szCs w:val="21"/>
        </w:rPr>
      </w:pPr>
      <w:r>
        <w:rPr>
          <w:rFonts w:cs="宋体"/>
          <w:color w:val="000000"/>
          <w:sz w:val="21"/>
          <w:szCs w:val="21"/>
        </w:rPr>
        <w:t>22)</w:t>
      </w:r>
      <w:r>
        <w:rPr>
          <w:rFonts w:cs="宋体"/>
          <w:color w:val="000000"/>
          <w:sz w:val="21"/>
          <w:szCs w:val="21"/>
        </w:rPr>
        <w:tab/>
      </w:r>
      <w:r>
        <w:rPr>
          <w:rFonts w:hint="eastAsia" w:cs="宋体"/>
          <w:color w:val="000000"/>
          <w:sz w:val="21"/>
          <w:szCs w:val="21"/>
        </w:rPr>
        <w:t>违法广告宣传、促销、误导消费等不良行为的。</w:t>
      </w:r>
      <w:r>
        <w:rPr>
          <w:rFonts w:cs="宋体"/>
          <w:color w:val="000000"/>
          <w:sz w:val="21"/>
          <w:szCs w:val="21"/>
        </w:rPr>
        <w:t xml:space="preserve"> </w:t>
      </w:r>
    </w:p>
    <w:p w14:paraId="36D7FB0D">
      <w:pPr>
        <w:pStyle w:val="18"/>
        <w:spacing w:after="120"/>
        <w:ind w:left="420" w:leftChars="200" w:firstLine="420" w:firstLineChars="200"/>
        <w:rPr>
          <w:rFonts w:cs="宋体"/>
          <w:color w:val="000000"/>
          <w:szCs w:val="21"/>
        </w:rPr>
      </w:pPr>
      <w:r>
        <w:rPr>
          <w:rFonts w:cs="宋体"/>
          <w:color w:val="000000"/>
          <w:sz w:val="21"/>
          <w:szCs w:val="21"/>
        </w:rPr>
        <w:t>23)</w:t>
      </w:r>
      <w:r>
        <w:rPr>
          <w:rFonts w:cs="宋体"/>
          <w:color w:val="000000"/>
          <w:sz w:val="21"/>
          <w:szCs w:val="21"/>
        </w:rPr>
        <w:tab/>
      </w:r>
      <w:r>
        <w:rPr>
          <w:rFonts w:hint="eastAsia" w:cs="宋体"/>
          <w:color w:val="000000"/>
          <w:sz w:val="21"/>
          <w:szCs w:val="21"/>
        </w:rPr>
        <w:t>不按约定时间配送药品、医疗器械、耗材，尤其是急救类用品，影响临床正常使用的。</w:t>
      </w:r>
      <w:r>
        <w:rPr>
          <w:rFonts w:cs="宋体"/>
          <w:color w:val="000000"/>
          <w:sz w:val="21"/>
          <w:szCs w:val="21"/>
        </w:rPr>
        <w:t xml:space="preserve"> </w:t>
      </w:r>
    </w:p>
    <w:p w14:paraId="5E869C45">
      <w:pPr>
        <w:pStyle w:val="18"/>
        <w:spacing w:after="120"/>
        <w:ind w:left="420" w:leftChars="200" w:firstLine="420" w:firstLineChars="200"/>
        <w:rPr>
          <w:rFonts w:cs="宋体"/>
          <w:color w:val="000000"/>
          <w:szCs w:val="21"/>
        </w:rPr>
      </w:pPr>
      <w:r>
        <w:rPr>
          <w:rFonts w:cs="宋体"/>
          <w:color w:val="000000"/>
          <w:sz w:val="21"/>
          <w:szCs w:val="21"/>
        </w:rPr>
        <w:t>24)</w:t>
      </w:r>
      <w:r>
        <w:rPr>
          <w:rFonts w:cs="宋体"/>
          <w:color w:val="000000"/>
          <w:sz w:val="21"/>
          <w:szCs w:val="21"/>
        </w:rPr>
        <w:tab/>
      </w:r>
      <w:r>
        <w:rPr>
          <w:rFonts w:hint="eastAsia" w:cs="宋体"/>
          <w:color w:val="000000"/>
          <w:sz w:val="21"/>
          <w:szCs w:val="21"/>
        </w:rPr>
        <w:t>在购销活动中不遵守保密规定、未经医院同意擅自将医院药品、医疗器械、耗材数据信息披露的。</w:t>
      </w:r>
      <w:r>
        <w:rPr>
          <w:rFonts w:cs="宋体"/>
          <w:color w:val="000000"/>
          <w:sz w:val="21"/>
          <w:szCs w:val="21"/>
        </w:rPr>
        <w:t xml:space="preserve"> </w:t>
      </w:r>
    </w:p>
    <w:p w14:paraId="5F7B9937">
      <w:pPr>
        <w:pStyle w:val="18"/>
        <w:spacing w:after="120"/>
        <w:ind w:left="420" w:leftChars="200" w:firstLine="420" w:firstLineChars="200"/>
        <w:rPr>
          <w:rFonts w:cs="宋体"/>
          <w:color w:val="000000"/>
          <w:szCs w:val="21"/>
        </w:rPr>
      </w:pPr>
      <w:r>
        <w:rPr>
          <w:rFonts w:cs="宋体"/>
          <w:color w:val="000000"/>
          <w:sz w:val="21"/>
          <w:szCs w:val="21"/>
        </w:rPr>
        <w:t>25)</w:t>
      </w:r>
      <w:r>
        <w:rPr>
          <w:rFonts w:cs="宋体"/>
          <w:color w:val="000000"/>
          <w:sz w:val="21"/>
          <w:szCs w:val="21"/>
        </w:rPr>
        <w:tab/>
      </w:r>
      <w:r>
        <w:rPr>
          <w:rFonts w:hint="eastAsia" w:cs="宋体"/>
          <w:color w:val="000000"/>
          <w:sz w:val="21"/>
          <w:szCs w:val="21"/>
        </w:rPr>
        <w:t>药品价格变动未及时向医院书面反馈，给医院或患者造成损失的。</w:t>
      </w:r>
      <w:r>
        <w:rPr>
          <w:rFonts w:cs="宋体"/>
          <w:color w:val="000000"/>
          <w:sz w:val="21"/>
          <w:szCs w:val="21"/>
        </w:rPr>
        <w:t xml:space="preserve"> </w:t>
      </w:r>
    </w:p>
    <w:p w14:paraId="28A23C4F">
      <w:pPr>
        <w:pStyle w:val="18"/>
        <w:spacing w:after="120"/>
        <w:ind w:left="420" w:leftChars="200" w:firstLine="420" w:firstLineChars="200"/>
        <w:rPr>
          <w:rFonts w:cs="宋体"/>
          <w:color w:val="000000"/>
          <w:szCs w:val="21"/>
        </w:rPr>
      </w:pPr>
      <w:r>
        <w:rPr>
          <w:rFonts w:cs="宋体"/>
          <w:color w:val="000000"/>
          <w:sz w:val="21"/>
          <w:szCs w:val="21"/>
        </w:rPr>
        <w:t>26)</w:t>
      </w:r>
      <w:r>
        <w:rPr>
          <w:rFonts w:cs="宋体"/>
          <w:color w:val="000000"/>
          <w:sz w:val="21"/>
          <w:szCs w:val="21"/>
        </w:rPr>
        <w:tab/>
      </w:r>
      <w:r>
        <w:rPr>
          <w:rFonts w:hint="eastAsia" w:cs="宋体"/>
          <w:color w:val="000000"/>
          <w:sz w:val="21"/>
          <w:szCs w:val="21"/>
        </w:rPr>
        <w:t>传播虚假信息，严重干扰医院正常工作程序，造成恶劣影响的。</w:t>
      </w:r>
      <w:r>
        <w:rPr>
          <w:rFonts w:cs="宋体"/>
          <w:color w:val="000000"/>
          <w:sz w:val="21"/>
          <w:szCs w:val="21"/>
        </w:rPr>
        <w:t xml:space="preserve"> </w:t>
      </w:r>
    </w:p>
    <w:p w14:paraId="791B0A1E">
      <w:pPr>
        <w:pStyle w:val="18"/>
        <w:spacing w:after="120"/>
        <w:ind w:left="420" w:leftChars="200" w:firstLine="420" w:firstLineChars="200"/>
        <w:rPr>
          <w:rFonts w:cs="宋体"/>
          <w:color w:val="000000"/>
          <w:szCs w:val="21"/>
        </w:rPr>
      </w:pPr>
      <w:r>
        <w:rPr>
          <w:rFonts w:cs="宋体"/>
          <w:color w:val="000000"/>
          <w:sz w:val="21"/>
          <w:szCs w:val="21"/>
        </w:rPr>
        <w:t>27)</w:t>
      </w:r>
      <w:r>
        <w:rPr>
          <w:rFonts w:cs="宋体"/>
          <w:color w:val="000000"/>
          <w:sz w:val="21"/>
          <w:szCs w:val="21"/>
        </w:rPr>
        <w:tab/>
      </w:r>
      <w:r>
        <w:rPr>
          <w:rFonts w:hint="eastAsia" w:cs="宋体"/>
          <w:color w:val="000000"/>
          <w:sz w:val="21"/>
          <w:szCs w:val="21"/>
        </w:rPr>
        <w:t>供应商与厂家恶意串通，故意提高药品、医疗器械、耗材供应价格的。</w:t>
      </w:r>
      <w:r>
        <w:rPr>
          <w:rFonts w:cs="宋体"/>
          <w:color w:val="000000"/>
          <w:sz w:val="21"/>
          <w:szCs w:val="21"/>
        </w:rPr>
        <w:t xml:space="preserve"> </w:t>
      </w:r>
    </w:p>
    <w:p w14:paraId="12439DF7">
      <w:pPr>
        <w:pStyle w:val="18"/>
        <w:spacing w:after="120"/>
        <w:ind w:left="420" w:leftChars="200" w:firstLine="420" w:firstLineChars="200"/>
        <w:rPr>
          <w:rFonts w:cs="宋体"/>
          <w:color w:val="000000"/>
          <w:szCs w:val="21"/>
        </w:rPr>
      </w:pPr>
      <w:r>
        <w:rPr>
          <w:rFonts w:cs="宋体"/>
          <w:color w:val="000000"/>
          <w:sz w:val="21"/>
          <w:szCs w:val="21"/>
        </w:rPr>
        <w:t>28)</w:t>
      </w:r>
      <w:r>
        <w:rPr>
          <w:rFonts w:cs="宋体"/>
          <w:color w:val="000000"/>
          <w:sz w:val="21"/>
          <w:szCs w:val="21"/>
        </w:rPr>
        <w:tab/>
      </w:r>
      <w:r>
        <w:rPr>
          <w:rFonts w:hint="eastAsia" w:cs="宋体"/>
          <w:color w:val="000000"/>
          <w:sz w:val="21"/>
          <w:szCs w:val="21"/>
        </w:rPr>
        <w:t>法规、规章规定的其他政府采购严重违法失信行为。</w:t>
      </w:r>
    </w:p>
    <w:p w14:paraId="3F4FC7D1">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4.以上事项如有虚假或隐瞒，我方愿意承担一切后果，并不再寻求任何旨在减轻或免除法律责任的辩解。 </w:t>
      </w:r>
    </w:p>
    <w:p w14:paraId="22124C75">
      <w:pPr>
        <w:snapToGrid w:val="0"/>
        <w:spacing w:before="50" w:afterLines="100" w:line="360" w:lineRule="auto"/>
        <w:ind w:left="7428" w:leftChars="2223" w:hanging="2760" w:hangingChars="1150"/>
        <w:jc w:val="left"/>
        <w:rPr>
          <w:rFonts w:ascii="宋体" w:hAnsi="宋体" w:cs="宋体"/>
          <w:color w:val="000000"/>
          <w:sz w:val="24"/>
        </w:rPr>
      </w:pPr>
    </w:p>
    <w:p w14:paraId="670E30E4">
      <w:pPr>
        <w:snapToGrid w:val="0"/>
        <w:spacing w:before="50" w:afterLines="100" w:line="360" w:lineRule="auto"/>
        <w:ind w:left="7428" w:leftChars="2223" w:hanging="2760" w:hangingChars="1150"/>
        <w:jc w:val="left"/>
        <w:rPr>
          <w:rFonts w:ascii="宋体" w:hAnsi="宋体" w:cs="宋体"/>
          <w:color w:val="000000"/>
          <w:sz w:val="24"/>
        </w:rPr>
      </w:pPr>
    </w:p>
    <w:p w14:paraId="7E3A73B4">
      <w:pPr>
        <w:snapToGrid w:val="0"/>
        <w:spacing w:before="50" w:afterLines="100" w:line="360" w:lineRule="auto"/>
        <w:ind w:left="7428" w:leftChars="2223" w:hanging="2760" w:hangingChars="1150"/>
        <w:jc w:val="left"/>
        <w:rPr>
          <w:rFonts w:ascii="宋体" w:hAnsi="宋体" w:cs="宋体"/>
          <w:color w:val="000000"/>
          <w:szCs w:val="21"/>
        </w:rPr>
      </w:pPr>
      <w:r>
        <w:rPr>
          <w:rFonts w:hint="eastAsia" w:ascii="宋体" w:hAnsi="宋体" w:cs="宋体"/>
          <w:color w:val="000000"/>
          <w:sz w:val="24"/>
        </w:rPr>
        <w:t xml:space="preserve"> </w:t>
      </w:r>
      <w:r>
        <w:rPr>
          <w:rFonts w:hint="eastAsia" w:ascii="宋体" w:hAnsi="宋体" w:cs="宋体"/>
          <w:color w:val="000000"/>
          <w:kern w:val="0"/>
          <w:sz w:val="24"/>
          <w:lang w:val="zh-CN"/>
        </w:rPr>
        <w:t>供应商名称(公章)：</w:t>
      </w:r>
      <w:r>
        <w:rPr>
          <w:rFonts w:hint="eastAsia" w:ascii="宋体" w:hAnsi="宋体" w:cs="宋体"/>
          <w:color w:val="000000"/>
          <w:szCs w:val="21"/>
        </w:rPr>
        <w:t xml:space="preserve">                               </w:t>
      </w:r>
    </w:p>
    <w:p w14:paraId="21DF31CD">
      <w:pPr>
        <w:snapToGrid w:val="0"/>
        <w:spacing w:before="50" w:afterLines="100" w:line="360" w:lineRule="auto"/>
        <w:ind w:left="7083" w:leftChars="2223" w:hanging="2415" w:hangingChars="1150"/>
        <w:jc w:val="left"/>
        <w:rPr>
          <w:rFonts w:ascii="宋体" w:hAnsi="宋体" w:cs="宋体"/>
          <w:color w:val="000000"/>
          <w:kern w:val="0"/>
          <w:sz w:val="24"/>
          <w:lang w:val="zh-CN"/>
        </w:rPr>
      </w:pPr>
      <w:r>
        <w:rPr>
          <w:rFonts w:hint="eastAsia" w:ascii="宋体" w:hAnsi="宋体" w:cs="宋体"/>
          <w:color w:val="000000"/>
          <w:szCs w:val="21"/>
        </w:rPr>
        <w:t>年    月    日</w:t>
      </w:r>
    </w:p>
    <w:p w14:paraId="4A04F47B">
      <w:pPr>
        <w:snapToGrid w:val="0"/>
        <w:spacing w:before="50" w:afterLines="50" w:line="360" w:lineRule="auto"/>
        <w:jc w:val="center"/>
        <w:rPr>
          <w:rFonts w:ascii="宋体" w:hAnsi="宋体" w:cs="宋体"/>
          <w:b/>
          <w:color w:val="000000"/>
          <w:kern w:val="0"/>
          <w:sz w:val="32"/>
          <w:szCs w:val="32"/>
        </w:rPr>
      </w:pPr>
    </w:p>
    <w:p w14:paraId="3BDEE264">
      <w:pPr>
        <w:snapToGrid w:val="0"/>
        <w:spacing w:before="50" w:afterLines="50" w:line="360" w:lineRule="auto"/>
        <w:jc w:val="center"/>
        <w:rPr>
          <w:rFonts w:ascii="宋体" w:hAnsi="宋体" w:cs="宋体"/>
          <w:b/>
          <w:color w:val="000000"/>
          <w:kern w:val="0"/>
          <w:sz w:val="32"/>
          <w:szCs w:val="32"/>
        </w:rPr>
      </w:pPr>
    </w:p>
    <w:p w14:paraId="58AB165D">
      <w:pPr>
        <w:snapToGrid w:val="0"/>
        <w:spacing w:before="50" w:afterLines="50" w:line="360" w:lineRule="auto"/>
        <w:jc w:val="center"/>
        <w:rPr>
          <w:rFonts w:ascii="宋体" w:hAnsi="宋体" w:cs="宋体"/>
          <w:b/>
          <w:color w:val="000000"/>
          <w:kern w:val="0"/>
          <w:sz w:val="32"/>
          <w:szCs w:val="32"/>
        </w:rPr>
      </w:pPr>
      <w:r>
        <w:rPr>
          <w:rFonts w:hint="eastAsia" w:ascii="宋体" w:hAnsi="宋体" w:cs="宋体"/>
          <w:b/>
          <w:color w:val="000000"/>
          <w:kern w:val="0"/>
          <w:sz w:val="32"/>
          <w:szCs w:val="32"/>
        </w:rPr>
        <w:t>公司直接控股股东信息表</w:t>
      </w:r>
    </w:p>
    <w:tbl>
      <w:tblPr>
        <w:tblStyle w:val="21"/>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FC66D6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531883A">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455BBEE">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8714E46">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CF32374">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7DC552">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75BBC7C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63FB34">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E16337">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CA5C2">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ADF6C5">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876D4D">
            <w:pPr>
              <w:spacing w:line="360" w:lineRule="auto"/>
              <w:jc w:val="center"/>
              <w:rPr>
                <w:rFonts w:ascii="宋体" w:hAnsi="宋体" w:cs="宋体"/>
                <w:color w:val="000000"/>
                <w:kern w:val="0"/>
                <w:sz w:val="24"/>
              </w:rPr>
            </w:pPr>
          </w:p>
        </w:tc>
      </w:tr>
      <w:tr w14:paraId="67D0378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C05185">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84C429">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9B47B2">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3AD49E">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D64F2C">
            <w:pPr>
              <w:spacing w:line="360" w:lineRule="auto"/>
              <w:jc w:val="center"/>
              <w:rPr>
                <w:rFonts w:ascii="宋体" w:hAnsi="宋体" w:cs="宋体"/>
                <w:color w:val="000000"/>
                <w:kern w:val="0"/>
                <w:sz w:val="24"/>
              </w:rPr>
            </w:pPr>
          </w:p>
        </w:tc>
      </w:tr>
      <w:tr w14:paraId="31BA706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014143">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D7D14C">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E99DDE">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7751F0">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7F7422">
            <w:pPr>
              <w:spacing w:line="360" w:lineRule="auto"/>
              <w:jc w:val="center"/>
              <w:rPr>
                <w:rFonts w:ascii="宋体" w:hAnsi="宋体" w:cs="宋体"/>
                <w:color w:val="000000"/>
                <w:kern w:val="0"/>
                <w:sz w:val="24"/>
              </w:rPr>
            </w:pPr>
          </w:p>
        </w:tc>
      </w:tr>
      <w:tr w14:paraId="702646D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310826">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D0E607">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545DB3">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AC9A95">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41AC2B">
            <w:pPr>
              <w:spacing w:line="360" w:lineRule="auto"/>
              <w:jc w:val="center"/>
              <w:rPr>
                <w:rFonts w:ascii="宋体" w:hAnsi="宋体" w:cs="宋体"/>
                <w:color w:val="000000"/>
                <w:kern w:val="0"/>
                <w:sz w:val="24"/>
              </w:rPr>
            </w:pPr>
          </w:p>
        </w:tc>
      </w:tr>
    </w:tbl>
    <w:p w14:paraId="7250B878">
      <w:pPr>
        <w:snapToGrid w:val="0"/>
        <w:spacing w:line="360" w:lineRule="auto"/>
        <w:jc w:val="left"/>
        <w:rPr>
          <w:rFonts w:ascii="宋体" w:hAnsi="宋体" w:cs="宋体"/>
          <w:color w:val="000000"/>
          <w:sz w:val="24"/>
        </w:rPr>
      </w:pPr>
      <w:r>
        <w:rPr>
          <w:rFonts w:hint="eastAsia" w:ascii="宋体" w:hAnsi="宋体" w:cs="宋体"/>
          <w:color w:val="000000"/>
          <w:sz w:val="24"/>
        </w:rPr>
        <w:t>注：</w:t>
      </w:r>
    </w:p>
    <w:p w14:paraId="0BFE2D6C">
      <w:pPr>
        <w:snapToGrid w:val="0"/>
        <w:spacing w:line="360" w:lineRule="auto"/>
        <w:jc w:val="left"/>
        <w:rPr>
          <w:rFonts w:ascii="宋体" w:hAnsi="宋体" w:cs="宋体"/>
          <w:color w:val="000000"/>
          <w:sz w:val="24"/>
        </w:rPr>
      </w:pPr>
      <w:r>
        <w:rPr>
          <w:rFonts w:hint="eastAsia" w:ascii="宋体" w:hAnsi="宋体" w:cs="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F4194F0">
      <w:pPr>
        <w:snapToGrid w:val="0"/>
        <w:spacing w:line="360" w:lineRule="auto"/>
        <w:jc w:val="left"/>
        <w:rPr>
          <w:rFonts w:ascii="宋体" w:hAnsi="宋体" w:cs="宋体"/>
          <w:color w:val="000000"/>
          <w:sz w:val="24"/>
        </w:rPr>
      </w:pPr>
      <w:r>
        <w:rPr>
          <w:rFonts w:hint="eastAsia" w:ascii="宋体" w:hAnsi="宋体" w:cs="宋体"/>
          <w:color w:val="000000"/>
          <w:sz w:val="24"/>
        </w:rPr>
        <w:t>2.本表所指的控股关系仅限于直接控股关系，不包括间接的控股关系。公司实际控制人与公司之间的关系不属于本表所指的直接控股关系。</w:t>
      </w:r>
    </w:p>
    <w:p w14:paraId="2210EA3C">
      <w:pPr>
        <w:snapToGrid w:val="0"/>
        <w:spacing w:line="360" w:lineRule="auto"/>
        <w:jc w:val="left"/>
        <w:rPr>
          <w:rFonts w:ascii="宋体" w:hAnsi="宋体" w:cs="宋体"/>
          <w:color w:val="000000"/>
          <w:sz w:val="24"/>
        </w:rPr>
      </w:pPr>
      <w:r>
        <w:rPr>
          <w:rFonts w:hint="eastAsia" w:ascii="宋体" w:hAnsi="宋体" w:cs="宋体"/>
          <w:color w:val="000000"/>
          <w:sz w:val="24"/>
        </w:rPr>
        <w:t>3.供应商不存在直接控股股东的，则填“无”。</w:t>
      </w:r>
    </w:p>
    <w:p w14:paraId="0DAC3DBE">
      <w:pPr>
        <w:snapToGrid w:val="0"/>
        <w:spacing w:line="360" w:lineRule="auto"/>
        <w:jc w:val="left"/>
        <w:rPr>
          <w:rFonts w:ascii="宋体" w:hAnsi="宋体" w:cs="宋体"/>
          <w:color w:val="000000"/>
          <w:sz w:val="24"/>
        </w:rPr>
      </w:pPr>
    </w:p>
    <w:p w14:paraId="65EC5BD2">
      <w:pPr>
        <w:snapToGrid w:val="0"/>
        <w:spacing w:line="360" w:lineRule="auto"/>
        <w:jc w:val="left"/>
        <w:rPr>
          <w:rFonts w:ascii="宋体" w:hAnsi="宋体" w:cs="宋体"/>
          <w:color w:val="000000"/>
          <w:sz w:val="24"/>
        </w:rPr>
      </w:pPr>
    </w:p>
    <w:p w14:paraId="0DFB335E">
      <w:pPr>
        <w:snapToGrid w:val="0"/>
        <w:spacing w:line="360" w:lineRule="auto"/>
        <w:jc w:val="left"/>
        <w:rPr>
          <w:rFonts w:ascii="宋体" w:hAnsi="宋体" w:cs="宋体"/>
          <w:color w:val="000000"/>
          <w:sz w:val="24"/>
        </w:rPr>
      </w:pPr>
    </w:p>
    <w:p w14:paraId="2DDCED75">
      <w:pPr>
        <w:snapToGrid w:val="0"/>
        <w:spacing w:before="50" w:afterLines="100" w:line="360" w:lineRule="auto"/>
        <w:ind w:left="7428" w:leftChars="2223" w:hanging="2760" w:hangingChars="1150"/>
        <w:jc w:val="right"/>
        <w:rPr>
          <w:rFonts w:ascii="宋体" w:hAnsi="宋体" w:cs="宋体"/>
          <w:color w:val="000000"/>
          <w:szCs w:val="21"/>
        </w:rPr>
      </w:pPr>
      <w:r>
        <w:rPr>
          <w:rFonts w:hint="eastAsia" w:ascii="宋体" w:hAnsi="宋体" w:cs="宋体"/>
          <w:color w:val="000000"/>
          <w:kern w:val="0"/>
          <w:sz w:val="24"/>
          <w:lang w:val="zh-CN"/>
        </w:rPr>
        <w:t>供应商名称(公章)：</w:t>
      </w:r>
      <w:r>
        <w:rPr>
          <w:rFonts w:hint="eastAsia" w:ascii="宋体" w:hAnsi="宋体" w:cs="宋体"/>
          <w:color w:val="000000"/>
          <w:szCs w:val="21"/>
        </w:rPr>
        <w:t xml:space="preserve">                               </w:t>
      </w:r>
    </w:p>
    <w:p w14:paraId="305FCE45">
      <w:pPr>
        <w:snapToGrid w:val="0"/>
        <w:jc w:val="right"/>
        <w:rPr>
          <w:rFonts w:ascii="宋体" w:hAnsi="宋体" w:cs="宋体"/>
          <w:b/>
          <w:color w:val="000000"/>
          <w:sz w:val="28"/>
          <w:szCs w:val="28"/>
        </w:rPr>
      </w:pPr>
      <w:r>
        <w:rPr>
          <w:rFonts w:hint="eastAsia" w:ascii="宋体" w:hAnsi="宋体" w:cs="宋体"/>
          <w:color w:val="000000"/>
          <w:szCs w:val="21"/>
        </w:rPr>
        <w:t>年    月    日</w:t>
      </w:r>
      <w:r>
        <w:rPr>
          <w:rFonts w:hint="eastAsia" w:ascii="宋体" w:hAnsi="宋体" w:cs="宋体"/>
          <w:b/>
          <w:color w:val="000000"/>
          <w:sz w:val="28"/>
          <w:szCs w:val="28"/>
        </w:rPr>
        <w:br w:type="page"/>
      </w:r>
    </w:p>
    <w:p w14:paraId="2BF3516E">
      <w:pPr>
        <w:snapToGrid w:val="0"/>
        <w:spacing w:line="360" w:lineRule="auto"/>
        <w:jc w:val="center"/>
        <w:rPr>
          <w:rFonts w:ascii="宋体" w:hAnsi="宋体" w:cs="宋体"/>
          <w:color w:val="000000"/>
          <w:sz w:val="32"/>
          <w:szCs w:val="32"/>
        </w:rPr>
      </w:pPr>
      <w:r>
        <w:rPr>
          <w:rFonts w:hint="eastAsia" w:ascii="宋体" w:hAnsi="宋体" w:cs="宋体"/>
          <w:b/>
          <w:color w:val="000000"/>
          <w:sz w:val="32"/>
          <w:szCs w:val="32"/>
        </w:rPr>
        <w:t>公司直接管理关系信息表</w:t>
      </w:r>
    </w:p>
    <w:tbl>
      <w:tblPr>
        <w:tblStyle w:val="2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F828BE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9FA8DB3">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A7DD38">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D60FBF">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14B513">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01CAA56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21EDC2">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A1D415">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C882A7">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33F405">
            <w:pPr>
              <w:spacing w:line="360" w:lineRule="auto"/>
              <w:jc w:val="center"/>
              <w:rPr>
                <w:rFonts w:ascii="宋体" w:hAnsi="宋体" w:cs="宋体"/>
                <w:color w:val="000000"/>
                <w:kern w:val="0"/>
                <w:sz w:val="24"/>
              </w:rPr>
            </w:pPr>
          </w:p>
        </w:tc>
      </w:tr>
      <w:tr w14:paraId="3DE8F9A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77613F">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4EDF18">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6DAA0D">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93AE33">
            <w:pPr>
              <w:spacing w:line="360" w:lineRule="auto"/>
              <w:jc w:val="center"/>
              <w:rPr>
                <w:rFonts w:ascii="宋体" w:hAnsi="宋体" w:cs="宋体"/>
                <w:color w:val="000000"/>
                <w:kern w:val="0"/>
                <w:sz w:val="24"/>
              </w:rPr>
            </w:pPr>
          </w:p>
        </w:tc>
      </w:tr>
      <w:tr w14:paraId="27BF39C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4D13EB">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457BF">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DA1908">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D978AE">
            <w:pPr>
              <w:spacing w:line="360" w:lineRule="auto"/>
              <w:jc w:val="center"/>
              <w:rPr>
                <w:rFonts w:ascii="宋体" w:hAnsi="宋体" w:cs="宋体"/>
                <w:color w:val="000000"/>
                <w:kern w:val="0"/>
                <w:sz w:val="24"/>
              </w:rPr>
            </w:pPr>
          </w:p>
        </w:tc>
      </w:tr>
      <w:tr w14:paraId="52739B1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C477EB">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12CDD9">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E3E20A">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3FEA4A">
            <w:pPr>
              <w:spacing w:line="360" w:lineRule="auto"/>
              <w:jc w:val="center"/>
              <w:rPr>
                <w:rFonts w:ascii="宋体" w:hAnsi="宋体" w:cs="宋体"/>
                <w:color w:val="000000"/>
                <w:kern w:val="0"/>
                <w:sz w:val="24"/>
              </w:rPr>
            </w:pPr>
          </w:p>
        </w:tc>
      </w:tr>
    </w:tbl>
    <w:p w14:paraId="28F66591">
      <w:pPr>
        <w:snapToGrid w:val="0"/>
        <w:spacing w:line="360" w:lineRule="auto"/>
        <w:jc w:val="left"/>
        <w:rPr>
          <w:rFonts w:ascii="宋体" w:hAnsi="宋体" w:cs="宋体"/>
          <w:color w:val="000000"/>
          <w:sz w:val="24"/>
        </w:rPr>
      </w:pPr>
      <w:r>
        <w:rPr>
          <w:rFonts w:hint="eastAsia" w:ascii="宋体" w:hAnsi="宋体" w:cs="宋体"/>
          <w:color w:val="000000"/>
          <w:sz w:val="24"/>
        </w:rPr>
        <w:t>注：</w:t>
      </w:r>
    </w:p>
    <w:p w14:paraId="49BDFB92">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1.管理关系：是指不具有出资持股关系的其他单位之间存在的管理与被管理关系，如一些上下级关系的事业单位和团体组织。</w:t>
      </w:r>
    </w:p>
    <w:p w14:paraId="4CEE9F2C">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pacing w:val="-6"/>
          <w:sz w:val="24"/>
        </w:rPr>
        <w:t>本表所指的管理关系仅限于直接管理关系，不包括间接的管理关系。</w:t>
      </w:r>
    </w:p>
    <w:p w14:paraId="69DC5BE8">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3.供应商不存在直接管理关系的，则填“无”。</w:t>
      </w:r>
    </w:p>
    <w:p w14:paraId="69DFCA63">
      <w:pPr>
        <w:snapToGrid w:val="0"/>
        <w:spacing w:line="360" w:lineRule="auto"/>
        <w:jc w:val="left"/>
        <w:rPr>
          <w:rFonts w:ascii="宋体" w:hAnsi="宋体" w:cs="宋体"/>
          <w:color w:val="000000"/>
          <w:sz w:val="24"/>
        </w:rPr>
      </w:pPr>
    </w:p>
    <w:p w14:paraId="1775CD1C">
      <w:pPr>
        <w:snapToGrid w:val="0"/>
        <w:spacing w:line="360" w:lineRule="auto"/>
        <w:jc w:val="left"/>
        <w:rPr>
          <w:rFonts w:ascii="宋体" w:hAnsi="宋体" w:cs="宋体"/>
          <w:color w:val="000000"/>
          <w:sz w:val="24"/>
        </w:rPr>
      </w:pPr>
    </w:p>
    <w:p w14:paraId="4BF46407">
      <w:pPr>
        <w:snapToGrid w:val="0"/>
        <w:spacing w:line="360" w:lineRule="auto"/>
        <w:jc w:val="left"/>
        <w:rPr>
          <w:rFonts w:ascii="宋体" w:hAnsi="宋体" w:cs="宋体"/>
          <w:color w:val="000000"/>
          <w:sz w:val="24"/>
        </w:rPr>
      </w:pPr>
    </w:p>
    <w:p w14:paraId="4EB8F5C3">
      <w:pPr>
        <w:snapToGrid w:val="0"/>
        <w:spacing w:line="360" w:lineRule="auto"/>
        <w:jc w:val="left"/>
        <w:rPr>
          <w:rFonts w:ascii="宋体" w:hAnsi="宋体" w:cs="宋体"/>
          <w:color w:val="000000"/>
          <w:sz w:val="24"/>
        </w:rPr>
      </w:pPr>
    </w:p>
    <w:p w14:paraId="7745E4C7">
      <w:pPr>
        <w:snapToGrid w:val="0"/>
        <w:spacing w:line="360" w:lineRule="auto"/>
        <w:jc w:val="left"/>
        <w:rPr>
          <w:rFonts w:ascii="宋体" w:hAnsi="宋体" w:cs="宋体"/>
          <w:color w:val="000000"/>
          <w:sz w:val="24"/>
        </w:rPr>
      </w:pPr>
    </w:p>
    <w:p w14:paraId="7B0AA6C8">
      <w:pPr>
        <w:snapToGrid w:val="0"/>
        <w:spacing w:line="360" w:lineRule="auto"/>
        <w:jc w:val="left"/>
        <w:rPr>
          <w:rFonts w:ascii="宋体" w:hAnsi="宋体" w:cs="宋体"/>
          <w:color w:val="000000"/>
          <w:sz w:val="24"/>
        </w:rPr>
      </w:pPr>
    </w:p>
    <w:p w14:paraId="78A223F1">
      <w:pPr>
        <w:snapToGrid w:val="0"/>
        <w:spacing w:line="360" w:lineRule="auto"/>
        <w:jc w:val="left"/>
        <w:rPr>
          <w:rFonts w:ascii="宋体" w:hAnsi="宋体" w:cs="宋体"/>
          <w:color w:val="000000"/>
          <w:sz w:val="24"/>
        </w:rPr>
      </w:pPr>
    </w:p>
    <w:p w14:paraId="0FF5E3B2">
      <w:pPr>
        <w:snapToGrid w:val="0"/>
        <w:spacing w:line="360" w:lineRule="auto"/>
        <w:jc w:val="left"/>
        <w:rPr>
          <w:rFonts w:ascii="宋体" w:hAnsi="宋体" w:cs="宋体"/>
          <w:color w:val="000000"/>
          <w:sz w:val="24"/>
        </w:rPr>
      </w:pPr>
    </w:p>
    <w:p w14:paraId="5A43F533">
      <w:pPr>
        <w:snapToGrid w:val="0"/>
        <w:spacing w:before="50" w:afterLines="100" w:line="360" w:lineRule="auto"/>
        <w:jc w:val="right"/>
        <w:rPr>
          <w:rFonts w:ascii="宋体" w:hAnsi="宋体" w:cs="宋体"/>
          <w:color w:val="000000"/>
          <w:szCs w:val="21"/>
        </w:rPr>
      </w:pPr>
      <w:r>
        <w:rPr>
          <w:rFonts w:hint="eastAsia" w:ascii="宋体" w:hAnsi="宋体" w:cs="宋体"/>
          <w:color w:val="000000"/>
          <w:kern w:val="0"/>
          <w:sz w:val="24"/>
          <w:lang w:val="zh-CN"/>
        </w:rPr>
        <w:t>供应商名称(公章)：</w:t>
      </w:r>
      <w:r>
        <w:rPr>
          <w:rFonts w:hint="eastAsia" w:ascii="宋体" w:hAnsi="宋体" w:cs="宋体"/>
          <w:color w:val="000000"/>
          <w:szCs w:val="21"/>
        </w:rPr>
        <w:t xml:space="preserve">                               </w:t>
      </w:r>
    </w:p>
    <w:p w14:paraId="408EBB4C">
      <w:pPr>
        <w:snapToGrid w:val="0"/>
        <w:spacing w:before="50" w:afterLines="50"/>
        <w:jc w:val="right"/>
        <w:rPr>
          <w:rFonts w:ascii="宋体" w:hAnsi="宋体" w:cs="宋体"/>
          <w:color w:val="000000"/>
          <w:szCs w:val="21"/>
        </w:rPr>
      </w:pPr>
      <w:r>
        <w:rPr>
          <w:rFonts w:hint="eastAsia" w:ascii="宋体" w:hAnsi="宋体" w:cs="宋体"/>
          <w:color w:val="000000"/>
          <w:szCs w:val="21"/>
        </w:rPr>
        <w:t>年    月    日</w:t>
      </w:r>
    </w:p>
    <w:p w14:paraId="2BFB2C5E">
      <w:pPr>
        <w:snapToGrid w:val="0"/>
        <w:spacing w:before="50" w:afterLines="50"/>
        <w:jc w:val="right"/>
        <w:rPr>
          <w:rFonts w:ascii="宋体" w:hAnsi="宋体" w:cs="宋体"/>
          <w:color w:val="000000"/>
          <w:szCs w:val="21"/>
        </w:rPr>
      </w:pPr>
    </w:p>
    <w:p w14:paraId="01A53636">
      <w:pPr>
        <w:snapToGrid w:val="0"/>
        <w:spacing w:before="50" w:afterLines="50"/>
        <w:jc w:val="right"/>
        <w:rPr>
          <w:rFonts w:ascii="宋体" w:hAnsi="宋体" w:cs="宋体"/>
          <w:color w:val="000000"/>
          <w:szCs w:val="21"/>
        </w:rPr>
      </w:pPr>
    </w:p>
    <w:p w14:paraId="50F392B8">
      <w:pPr>
        <w:snapToGrid w:val="0"/>
        <w:spacing w:before="50" w:afterLines="50"/>
        <w:jc w:val="right"/>
        <w:rPr>
          <w:rFonts w:ascii="宋体" w:hAnsi="宋体" w:cs="宋体"/>
          <w:color w:val="000000"/>
          <w:szCs w:val="21"/>
        </w:rPr>
      </w:pPr>
    </w:p>
    <w:p w14:paraId="3295E2AE">
      <w:pPr>
        <w:snapToGrid w:val="0"/>
        <w:spacing w:before="50" w:afterLines="50"/>
        <w:jc w:val="right"/>
        <w:rPr>
          <w:rFonts w:ascii="宋体" w:hAnsi="宋体" w:cs="宋体"/>
          <w:color w:val="000000"/>
          <w:szCs w:val="21"/>
        </w:rPr>
      </w:pPr>
    </w:p>
    <w:p w14:paraId="623DA1C2">
      <w:pPr>
        <w:snapToGrid w:val="0"/>
        <w:spacing w:before="50" w:afterLines="50"/>
        <w:jc w:val="right"/>
        <w:rPr>
          <w:rFonts w:ascii="宋体" w:hAnsi="宋体" w:cs="宋体"/>
          <w:color w:val="000000"/>
          <w:szCs w:val="21"/>
        </w:rPr>
      </w:pPr>
    </w:p>
    <w:p w14:paraId="4387A90C">
      <w:pPr>
        <w:snapToGrid w:val="0"/>
        <w:spacing w:before="50" w:afterLines="50"/>
        <w:jc w:val="right"/>
        <w:rPr>
          <w:rFonts w:ascii="宋体" w:hAnsi="宋体" w:cs="宋体"/>
          <w:color w:val="000000"/>
          <w:szCs w:val="21"/>
        </w:rPr>
      </w:pPr>
    </w:p>
    <w:p w14:paraId="6CB5D1C6">
      <w:pPr>
        <w:snapToGrid w:val="0"/>
        <w:spacing w:before="50" w:afterLines="50"/>
        <w:jc w:val="center"/>
        <w:rPr>
          <w:rFonts w:ascii="宋体" w:hAnsi="宋体" w:cs="宋体"/>
          <w:b/>
          <w:color w:val="000000"/>
          <w:sz w:val="36"/>
          <w:szCs w:val="36"/>
        </w:rPr>
      </w:pPr>
      <w:r>
        <w:rPr>
          <w:rFonts w:hint="eastAsia" w:ascii="宋体" w:hAnsi="宋体" w:cs="宋体"/>
          <w:b/>
          <w:color w:val="000000"/>
          <w:sz w:val="36"/>
          <w:szCs w:val="36"/>
        </w:rPr>
        <w:t>评分标准</w:t>
      </w:r>
    </w:p>
    <w:p w14:paraId="79111611">
      <w:pPr>
        <w:snapToGrid w:val="0"/>
        <w:spacing w:before="50" w:afterLines="50"/>
        <w:jc w:val="right"/>
        <w:rPr>
          <w:rFonts w:ascii="宋体" w:hAnsi="宋体" w:cs="宋体"/>
          <w:color w:val="000000"/>
          <w:szCs w:val="21"/>
        </w:rPr>
      </w:pPr>
    </w:p>
    <w:tbl>
      <w:tblPr>
        <w:tblStyle w:val="21"/>
        <w:tblW w:w="10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418"/>
        <w:gridCol w:w="7070"/>
      </w:tblGrid>
      <w:tr w14:paraId="4248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1CF7FA8A">
            <w:pPr>
              <w:widowControl/>
              <w:jc w:val="center"/>
              <w:rPr>
                <w:rFonts w:ascii="宋体" w:hAnsi="宋体" w:cs="宋体"/>
                <w:b/>
                <w:kern w:val="0"/>
                <w:sz w:val="24"/>
                <w:szCs w:val="24"/>
                <w:highlight w:val="none"/>
              </w:rPr>
            </w:pPr>
            <w:r>
              <w:rPr>
                <w:rFonts w:hint="eastAsia" w:ascii="宋体" w:hAnsi="宋体" w:cs="宋体"/>
                <w:b/>
                <w:kern w:val="0"/>
                <w:sz w:val="24"/>
                <w:szCs w:val="24"/>
                <w:highlight w:val="none"/>
              </w:rPr>
              <w:t>项目</w:t>
            </w:r>
          </w:p>
        </w:tc>
        <w:tc>
          <w:tcPr>
            <w:tcW w:w="2418" w:type="dxa"/>
            <w:tcBorders>
              <w:top w:val="single" w:color="auto" w:sz="4" w:space="0"/>
              <w:left w:val="single" w:color="auto" w:sz="4" w:space="0"/>
              <w:bottom w:val="single" w:color="auto" w:sz="4" w:space="0"/>
              <w:right w:val="single" w:color="auto" w:sz="4" w:space="0"/>
            </w:tcBorders>
            <w:vAlign w:val="center"/>
          </w:tcPr>
          <w:p w14:paraId="515986D1">
            <w:pPr>
              <w:widowControl/>
              <w:jc w:val="center"/>
              <w:rPr>
                <w:rFonts w:ascii="宋体" w:hAnsi="宋体" w:cs="宋体"/>
                <w:b/>
                <w:kern w:val="0"/>
                <w:sz w:val="24"/>
                <w:szCs w:val="24"/>
                <w:highlight w:val="none"/>
              </w:rPr>
            </w:pPr>
            <w:r>
              <w:rPr>
                <w:rFonts w:hint="eastAsia" w:ascii="宋体" w:hAnsi="宋体" w:cs="宋体"/>
                <w:b/>
                <w:kern w:val="0"/>
                <w:sz w:val="24"/>
                <w:szCs w:val="24"/>
                <w:highlight w:val="none"/>
              </w:rPr>
              <w:t>评分因素</w:t>
            </w:r>
          </w:p>
        </w:tc>
        <w:tc>
          <w:tcPr>
            <w:tcW w:w="7070" w:type="dxa"/>
            <w:tcBorders>
              <w:top w:val="single" w:color="auto" w:sz="4" w:space="0"/>
              <w:left w:val="single" w:color="auto" w:sz="4" w:space="0"/>
              <w:bottom w:val="single" w:color="auto" w:sz="4" w:space="0"/>
              <w:right w:val="single" w:color="auto" w:sz="4" w:space="0"/>
            </w:tcBorders>
            <w:vAlign w:val="center"/>
          </w:tcPr>
          <w:p w14:paraId="073AA21D">
            <w:pPr>
              <w:widowControl/>
              <w:jc w:val="center"/>
              <w:rPr>
                <w:rFonts w:ascii="宋体" w:hAnsi="宋体" w:cs="宋体"/>
                <w:b/>
                <w:kern w:val="0"/>
                <w:sz w:val="24"/>
                <w:szCs w:val="24"/>
                <w:highlight w:val="none"/>
              </w:rPr>
            </w:pPr>
            <w:r>
              <w:rPr>
                <w:rFonts w:hint="eastAsia" w:ascii="宋体" w:hAnsi="宋体" w:cs="宋体"/>
                <w:b/>
                <w:kern w:val="0"/>
                <w:sz w:val="24"/>
                <w:szCs w:val="24"/>
                <w:highlight w:val="none"/>
              </w:rPr>
              <w:t>评价内容及分项分值</w:t>
            </w:r>
          </w:p>
        </w:tc>
      </w:tr>
      <w:tr w14:paraId="2308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1BF5005D">
            <w:pPr>
              <w:spacing w:line="360" w:lineRule="auto"/>
              <w:jc w:val="left"/>
              <w:rPr>
                <w:rFonts w:ascii="宋体" w:hAnsi="宋体" w:cs="宋体"/>
                <w:sz w:val="24"/>
                <w:szCs w:val="24"/>
                <w:highlight w:val="none"/>
              </w:rPr>
            </w:pPr>
            <w:r>
              <w:rPr>
                <w:rFonts w:hint="eastAsia" w:ascii="宋体" w:hAnsi="宋体" w:cs="宋体"/>
                <w:sz w:val="24"/>
                <w:szCs w:val="24"/>
                <w:highlight w:val="none"/>
              </w:rPr>
              <w:t>价格分</w:t>
            </w:r>
          </w:p>
          <w:p w14:paraId="18EE9779">
            <w:pPr>
              <w:spacing w:line="360" w:lineRule="auto"/>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0分）</w:t>
            </w:r>
          </w:p>
        </w:tc>
        <w:tc>
          <w:tcPr>
            <w:tcW w:w="2418" w:type="dxa"/>
            <w:tcBorders>
              <w:top w:val="single" w:color="auto" w:sz="4" w:space="0"/>
              <w:left w:val="single" w:color="auto" w:sz="4" w:space="0"/>
              <w:bottom w:val="single" w:color="auto" w:sz="4" w:space="0"/>
              <w:right w:val="single" w:color="auto" w:sz="4" w:space="0"/>
            </w:tcBorders>
            <w:vAlign w:val="center"/>
          </w:tcPr>
          <w:p w14:paraId="51C80983">
            <w:pPr>
              <w:spacing w:line="360" w:lineRule="auto"/>
              <w:jc w:val="left"/>
              <w:rPr>
                <w:rFonts w:ascii="宋体" w:hAnsi="宋体" w:cs="宋体"/>
                <w:sz w:val="24"/>
                <w:szCs w:val="24"/>
                <w:highlight w:val="none"/>
              </w:rPr>
            </w:pPr>
            <w:r>
              <w:rPr>
                <w:rFonts w:hint="eastAsia" w:ascii="宋体" w:hAnsi="宋体" w:cs="宋体"/>
                <w:sz w:val="24"/>
                <w:szCs w:val="24"/>
                <w:highlight w:val="none"/>
              </w:rPr>
              <w:t>投标报价</w:t>
            </w:r>
          </w:p>
          <w:p w14:paraId="13F1C859">
            <w:pPr>
              <w:spacing w:line="360" w:lineRule="auto"/>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0分）</w:t>
            </w:r>
          </w:p>
        </w:tc>
        <w:tc>
          <w:tcPr>
            <w:tcW w:w="7070" w:type="dxa"/>
            <w:tcBorders>
              <w:top w:val="single" w:color="auto" w:sz="4" w:space="0"/>
              <w:left w:val="single" w:color="auto" w:sz="4" w:space="0"/>
              <w:bottom w:val="single" w:color="auto" w:sz="4" w:space="0"/>
              <w:right w:val="single" w:color="auto" w:sz="4" w:space="0"/>
            </w:tcBorders>
            <w:vAlign w:val="center"/>
          </w:tcPr>
          <w:p w14:paraId="12B906B8">
            <w:pPr>
              <w:spacing w:line="360" w:lineRule="auto"/>
              <w:jc w:val="left"/>
              <w:rPr>
                <w:rFonts w:ascii="宋体" w:hAnsi="宋体" w:cs="宋体"/>
                <w:sz w:val="24"/>
                <w:szCs w:val="24"/>
                <w:highlight w:val="none"/>
              </w:rPr>
            </w:pPr>
            <w:r>
              <w:rPr>
                <w:rFonts w:hint="eastAsia" w:ascii="宋体" w:hAnsi="宋体" w:cs="宋体"/>
                <w:sz w:val="24"/>
                <w:szCs w:val="24"/>
                <w:highlight w:val="none"/>
              </w:rPr>
              <w:t>价格评分的计算方法如下：</w:t>
            </w:r>
          </w:p>
          <w:p w14:paraId="2D582A73">
            <w:pPr>
              <w:spacing w:line="360" w:lineRule="auto"/>
              <w:jc w:val="left"/>
              <w:rPr>
                <w:rFonts w:ascii="宋体" w:hAnsi="宋体" w:cs="宋体"/>
                <w:sz w:val="24"/>
                <w:szCs w:val="24"/>
                <w:highlight w:val="none"/>
              </w:rPr>
            </w:pPr>
            <w:r>
              <w:rPr>
                <w:rFonts w:hint="eastAsia" w:ascii="宋体" w:hAnsi="宋体" w:cs="宋体"/>
                <w:sz w:val="24"/>
                <w:szCs w:val="24"/>
                <w:highlight w:val="none"/>
              </w:rPr>
              <w:t>1、满足需求要求且报价价格最低的报价为评标基准价，其价格分为满分(</w:t>
            </w:r>
            <w:r>
              <w:rPr>
                <w:rFonts w:hint="eastAsia" w:ascii="宋体" w:hAnsi="宋体" w:cs="宋体"/>
                <w:sz w:val="24"/>
                <w:szCs w:val="24"/>
                <w:highlight w:val="none"/>
                <w:lang w:val="en-US" w:eastAsia="zh-CN"/>
              </w:rPr>
              <w:t>5</w:t>
            </w:r>
            <w:r>
              <w:rPr>
                <w:rFonts w:hint="eastAsia" w:ascii="宋体" w:hAnsi="宋体" w:cs="宋体"/>
                <w:sz w:val="24"/>
                <w:szCs w:val="24"/>
                <w:highlight w:val="none"/>
              </w:rPr>
              <w:t>0分)；</w:t>
            </w:r>
          </w:p>
          <w:p w14:paraId="7DE3E0F9">
            <w:pPr>
              <w:spacing w:line="360" w:lineRule="auto"/>
              <w:jc w:val="left"/>
              <w:rPr>
                <w:rFonts w:ascii="宋体" w:hAnsi="宋体" w:cs="宋体"/>
                <w:sz w:val="24"/>
                <w:szCs w:val="24"/>
                <w:highlight w:val="none"/>
              </w:rPr>
            </w:pPr>
            <w:r>
              <w:rPr>
                <w:rFonts w:hint="eastAsia" w:ascii="宋体" w:hAnsi="宋体" w:cs="宋体"/>
                <w:sz w:val="24"/>
                <w:szCs w:val="24"/>
                <w:highlight w:val="none"/>
              </w:rPr>
              <w:t>2、其他合格供应商的报价得分按如下公式计算：报价得分=（基准价/报价）×</w:t>
            </w:r>
            <w:r>
              <w:rPr>
                <w:rFonts w:hint="eastAsia" w:ascii="宋体" w:hAnsi="宋体" w:cs="宋体"/>
                <w:sz w:val="24"/>
                <w:szCs w:val="24"/>
                <w:highlight w:val="none"/>
                <w:lang w:val="en-US" w:eastAsia="zh-CN"/>
              </w:rPr>
              <w:t>5</w:t>
            </w:r>
            <w:r>
              <w:rPr>
                <w:rFonts w:hint="eastAsia" w:ascii="宋体" w:hAnsi="宋体" w:cs="宋体"/>
                <w:sz w:val="24"/>
                <w:szCs w:val="24"/>
                <w:highlight w:val="none"/>
              </w:rPr>
              <w:t>0</w:t>
            </w:r>
          </w:p>
        </w:tc>
      </w:tr>
      <w:tr w14:paraId="6C80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5247E0B6">
            <w:pPr>
              <w:spacing w:line="360" w:lineRule="auto"/>
              <w:jc w:val="center"/>
              <w:rPr>
                <w:rFonts w:ascii="宋体" w:hAnsi="宋体" w:cs="宋体"/>
                <w:sz w:val="24"/>
                <w:szCs w:val="24"/>
                <w:highlight w:val="none"/>
              </w:rPr>
            </w:pPr>
            <w:r>
              <w:rPr>
                <w:rFonts w:hint="eastAsia" w:ascii="宋体" w:hAnsi="宋体" w:cs="宋体"/>
                <w:sz w:val="24"/>
                <w:szCs w:val="24"/>
                <w:highlight w:val="none"/>
              </w:rPr>
              <w:t>技术分</w:t>
            </w:r>
          </w:p>
          <w:p w14:paraId="6C7A0623">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40</w:t>
            </w:r>
            <w:r>
              <w:rPr>
                <w:rFonts w:hint="eastAsia" w:ascii="宋体" w:hAnsi="宋体" w:cs="宋体"/>
                <w:sz w:val="24"/>
                <w:szCs w:val="24"/>
                <w:highlight w:val="none"/>
              </w:rPr>
              <w:t>分）</w:t>
            </w:r>
          </w:p>
        </w:tc>
        <w:tc>
          <w:tcPr>
            <w:tcW w:w="2418" w:type="dxa"/>
            <w:tcBorders>
              <w:top w:val="single" w:color="auto" w:sz="4" w:space="0"/>
              <w:left w:val="single" w:color="auto" w:sz="4" w:space="0"/>
              <w:right w:val="single" w:color="auto" w:sz="4" w:space="0"/>
            </w:tcBorders>
            <w:vAlign w:val="center"/>
          </w:tcPr>
          <w:p w14:paraId="6C1EBC95">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样品分</w:t>
            </w:r>
          </w:p>
          <w:p w14:paraId="185161F3">
            <w:pPr>
              <w:spacing w:line="360" w:lineRule="auto"/>
              <w:jc w:val="center"/>
              <w:rPr>
                <w:rFonts w:hint="eastAsia" w:ascii="宋体"/>
                <w:color w:val="000000"/>
                <w:sz w:val="24"/>
                <w:szCs w:val="24"/>
                <w:highlight w:val="none"/>
              </w:rPr>
            </w:pPr>
            <w:r>
              <w:rPr>
                <w:rFonts w:hint="eastAsia" w:ascii="宋体" w:hAnsi="宋体" w:cs="宋体"/>
                <w:sz w:val="24"/>
                <w:szCs w:val="24"/>
                <w:highlight w:val="none"/>
              </w:rPr>
              <w:t>（满分</w:t>
            </w:r>
            <w:r>
              <w:rPr>
                <w:rFonts w:hint="eastAsia" w:ascii="宋体" w:hAnsi="宋体" w:cs="宋体"/>
                <w:sz w:val="24"/>
                <w:szCs w:val="24"/>
                <w:highlight w:val="none"/>
                <w:lang w:val="en-US" w:eastAsia="zh-CN"/>
              </w:rPr>
              <w:t>20</w:t>
            </w:r>
            <w:r>
              <w:rPr>
                <w:rFonts w:hint="eastAsia" w:ascii="宋体" w:hAnsi="宋体" w:cs="宋体"/>
                <w:sz w:val="24"/>
                <w:szCs w:val="24"/>
                <w:highlight w:val="none"/>
              </w:rPr>
              <w:t>分）</w:t>
            </w:r>
          </w:p>
        </w:tc>
        <w:tc>
          <w:tcPr>
            <w:tcW w:w="7070" w:type="dxa"/>
            <w:tcBorders>
              <w:top w:val="single" w:color="auto" w:sz="4" w:space="0"/>
              <w:left w:val="single" w:color="auto" w:sz="4" w:space="0"/>
              <w:right w:val="single" w:color="auto" w:sz="4" w:space="0"/>
            </w:tcBorders>
            <w:vAlign w:val="center"/>
          </w:tcPr>
          <w:p w14:paraId="12F4EA46">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评审小组对样品进行评审，综合评定外观、厚度、吸水性等因素，共</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lang w:eastAsia="zh-CN"/>
              </w:rPr>
              <w:t>个评审因素，每个评审因素</w:t>
            </w:r>
            <w:r>
              <w:rPr>
                <w:rFonts w:hint="eastAsia" w:ascii="宋体" w:hAnsi="宋体" w:cs="宋体"/>
                <w:color w:val="000000"/>
                <w:sz w:val="24"/>
                <w:szCs w:val="24"/>
                <w:highlight w:val="none"/>
                <w:lang w:val="en-US" w:eastAsia="zh-CN"/>
              </w:rPr>
              <w:t>4分，每位评委独立打分</w:t>
            </w:r>
            <w:r>
              <w:rPr>
                <w:rFonts w:hint="eastAsia" w:ascii="宋体" w:hAnsi="宋体" w:cs="宋体"/>
                <w:color w:val="000000"/>
                <w:sz w:val="24"/>
                <w:szCs w:val="24"/>
                <w:highlight w:val="none"/>
                <w:lang w:eastAsia="zh-CN"/>
              </w:rPr>
              <w:t>：</w:t>
            </w:r>
          </w:p>
          <w:p w14:paraId="577E59AB">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1. 外观品质（满分4分）  </w:t>
            </w:r>
          </w:p>
          <w:p w14:paraId="5F2BB054">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色泽：花生油的色泽是否均匀、明亮，有无异常色斑、暗沉或浑浊现象。  </w:t>
            </w:r>
          </w:p>
          <w:p w14:paraId="674A2355">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透明度：油品是否清澈透亮，无明显悬浮物、杂质或分层。  </w:t>
            </w:r>
          </w:p>
          <w:p w14:paraId="0FCCD6A7">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质地：油品的流动性与粘稠度是否适中，无凝固、结晶或颗粒感。</w:t>
            </w:r>
          </w:p>
          <w:p w14:paraId="22037EA8">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2. 理化性能（满分4分）  </w:t>
            </w:r>
          </w:p>
          <w:p w14:paraId="4F72FBDA">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流动性：常温下油品流动是否顺畅，无凝固、析出或异常粘滞现象。  </w:t>
            </w:r>
          </w:p>
          <w:p w14:paraId="17BAF0D8">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粘度：油品粘度是否均匀，符合产品规格要求。  </w:t>
            </w:r>
          </w:p>
          <w:p w14:paraId="66425F0D">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3. 感官质量（满分4分）  </w:t>
            </w:r>
          </w:p>
          <w:p w14:paraId="3B3997BB">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气味：花生油的香气是否自然浓郁，无哈喇味、酸败味、异味等。  </w:t>
            </w:r>
          </w:p>
          <w:p w14:paraId="31F02A35">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口味：滋味是否纯正，甜润适口，无苦味、涩味或其他杂味。  </w:t>
            </w:r>
          </w:p>
          <w:p w14:paraId="5414F830">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口感：入口滑爽度、油腻感是否合适，无粗糙、刺喉等不适感。  </w:t>
            </w:r>
          </w:p>
          <w:p w14:paraId="31256ED3">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4. 安全与纯度（满分4分）  </w:t>
            </w:r>
          </w:p>
          <w:p w14:paraId="4570BB54">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杂质：油品中是否存在可见杂质（如残渣、异物），经过滤或观察判定。  </w:t>
            </w:r>
          </w:p>
          <w:p w14:paraId="4E938439">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污染物：是否含有重金属、农药残留等有害物质（符合相关安全标准）。  </w:t>
            </w:r>
          </w:p>
          <w:p w14:paraId="2759E414">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5. 质量稳定性（满分4分）  </w:t>
            </w:r>
          </w:p>
          <w:p w14:paraId="76F86B9A">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保质期表现：在规定存储条件下，油品是否保持稳定，未出现氧化、变质、风味变差。  </w:t>
            </w:r>
          </w:p>
          <w:p w14:paraId="377B13A3">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储存变化：开封后或长期储存时，油品是否出现分层、沉淀等异常情况。  </w:t>
            </w:r>
          </w:p>
          <w:p w14:paraId="5F31FD2A">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抗氧化能力：油品抗氧化处理后，延缓酸败的能力是否达标。  </w:t>
            </w:r>
          </w:p>
        </w:tc>
      </w:tr>
      <w:tr w14:paraId="505D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7" w:hRule="atLeast"/>
          <w:jc w:val="center"/>
        </w:trPr>
        <w:tc>
          <w:tcPr>
            <w:tcW w:w="1411" w:type="dxa"/>
            <w:vMerge w:val="restart"/>
            <w:tcBorders>
              <w:top w:val="single" w:color="auto" w:sz="4" w:space="0"/>
              <w:left w:val="single" w:color="auto" w:sz="4" w:space="0"/>
              <w:bottom w:val="single" w:color="auto" w:sz="4" w:space="0"/>
              <w:right w:val="single" w:color="auto" w:sz="4" w:space="0"/>
            </w:tcBorders>
            <w:vAlign w:val="center"/>
          </w:tcPr>
          <w:p w14:paraId="020730EF">
            <w:pPr>
              <w:spacing w:line="360" w:lineRule="auto"/>
              <w:jc w:val="left"/>
              <w:rPr>
                <w:rFonts w:ascii="宋体" w:hAnsi="宋体" w:cs="宋体"/>
                <w:sz w:val="24"/>
                <w:szCs w:val="24"/>
                <w:highlight w:val="none"/>
              </w:rPr>
            </w:pPr>
            <w:r>
              <w:rPr>
                <w:rFonts w:hint="eastAsia" w:ascii="宋体" w:hAnsi="宋体" w:cs="宋体"/>
                <w:sz w:val="24"/>
                <w:szCs w:val="24"/>
                <w:highlight w:val="none"/>
              </w:rPr>
              <w:t>技术分</w:t>
            </w:r>
          </w:p>
          <w:p w14:paraId="678D7980">
            <w:pPr>
              <w:spacing w:line="360" w:lineRule="auto"/>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40</w:t>
            </w:r>
            <w:r>
              <w:rPr>
                <w:rFonts w:hint="eastAsia" w:ascii="宋体" w:hAnsi="宋体" w:cs="宋体"/>
                <w:sz w:val="24"/>
                <w:szCs w:val="24"/>
                <w:highlight w:val="none"/>
              </w:rPr>
              <w:t>分）</w:t>
            </w:r>
          </w:p>
        </w:tc>
        <w:tc>
          <w:tcPr>
            <w:tcW w:w="2418" w:type="dxa"/>
            <w:tcBorders>
              <w:top w:val="single" w:color="auto" w:sz="4" w:space="0"/>
              <w:left w:val="single" w:color="auto" w:sz="4" w:space="0"/>
              <w:right w:val="single" w:color="auto" w:sz="4" w:space="0"/>
            </w:tcBorders>
            <w:vAlign w:val="center"/>
          </w:tcPr>
          <w:p w14:paraId="7AB19826">
            <w:pPr>
              <w:adjustRightInd w:val="0"/>
              <w:spacing w:line="360" w:lineRule="exact"/>
              <w:jc w:val="center"/>
              <w:textAlignment w:val="baseline"/>
              <w:rPr>
                <w:rFonts w:hint="eastAsia" w:ascii="宋体"/>
                <w:color w:val="000000"/>
                <w:sz w:val="24"/>
                <w:szCs w:val="24"/>
                <w:highlight w:val="none"/>
              </w:rPr>
            </w:pPr>
            <w:r>
              <w:rPr>
                <w:rFonts w:hint="eastAsia" w:ascii="宋体"/>
                <w:color w:val="000000"/>
                <w:sz w:val="24"/>
                <w:szCs w:val="24"/>
                <w:highlight w:val="none"/>
              </w:rPr>
              <w:t>供货方案</w:t>
            </w:r>
          </w:p>
          <w:p w14:paraId="5EB6C8A0">
            <w:pPr>
              <w:adjustRightInd w:val="0"/>
              <w:spacing w:line="360" w:lineRule="exact"/>
              <w:jc w:val="center"/>
              <w:textAlignment w:val="baseline"/>
              <w:rPr>
                <w:rFonts w:ascii="宋体" w:hAnsi="宋体" w:cs="宋体"/>
                <w:sz w:val="24"/>
                <w:szCs w:val="24"/>
                <w:highlight w:val="none"/>
              </w:rPr>
            </w:pPr>
            <w:r>
              <w:rPr>
                <w:rFonts w:hint="eastAsia" w:ascii="宋体"/>
                <w:color w:val="000000"/>
                <w:sz w:val="24"/>
                <w:szCs w:val="24"/>
                <w:highlight w:val="none"/>
              </w:rPr>
              <w:t>（满分</w:t>
            </w:r>
            <w:r>
              <w:rPr>
                <w:rFonts w:hint="eastAsia" w:ascii="宋体"/>
                <w:color w:val="000000"/>
                <w:sz w:val="24"/>
                <w:szCs w:val="24"/>
                <w:highlight w:val="none"/>
                <w:lang w:val="en-US" w:eastAsia="zh-CN"/>
              </w:rPr>
              <w:t>12</w:t>
            </w:r>
            <w:r>
              <w:rPr>
                <w:rFonts w:hint="eastAsia" w:ascii="宋体"/>
                <w:color w:val="000000"/>
                <w:sz w:val="24"/>
                <w:szCs w:val="24"/>
                <w:highlight w:val="none"/>
              </w:rPr>
              <w:t>分）</w:t>
            </w:r>
          </w:p>
        </w:tc>
        <w:tc>
          <w:tcPr>
            <w:tcW w:w="7070" w:type="dxa"/>
            <w:tcBorders>
              <w:top w:val="single" w:color="auto" w:sz="4" w:space="0"/>
              <w:left w:val="single" w:color="auto" w:sz="4" w:space="0"/>
              <w:right w:val="single" w:color="auto" w:sz="4" w:space="0"/>
            </w:tcBorders>
            <w:vAlign w:val="center"/>
          </w:tcPr>
          <w:p w14:paraId="04718454">
            <w:pPr>
              <w:spacing w:line="380" w:lineRule="exact"/>
              <w:rPr>
                <w:rFonts w:hint="eastAsia" w:hAnsi="宋体"/>
                <w:bCs/>
                <w:color w:val="000000"/>
                <w:sz w:val="24"/>
                <w:szCs w:val="24"/>
                <w:highlight w:val="none"/>
              </w:rPr>
            </w:pPr>
            <w:r>
              <w:rPr>
                <w:rFonts w:hint="eastAsia" w:ascii="宋体"/>
                <w:color w:val="000000"/>
                <w:sz w:val="24"/>
                <w:szCs w:val="24"/>
                <w:highlight w:val="none"/>
              </w:rPr>
              <w:t>一</w:t>
            </w:r>
            <w:r>
              <w:rPr>
                <w:rFonts w:ascii="宋体"/>
                <w:color w:val="000000"/>
                <w:sz w:val="24"/>
                <w:szCs w:val="24"/>
                <w:highlight w:val="none"/>
              </w:rPr>
              <w:t>档（</w:t>
            </w:r>
            <w:r>
              <w:rPr>
                <w:rFonts w:hint="eastAsia" w:ascii="宋体"/>
                <w:color w:val="000000"/>
                <w:sz w:val="24"/>
                <w:szCs w:val="24"/>
                <w:highlight w:val="none"/>
                <w:lang w:val="en-US" w:eastAsia="zh-CN"/>
              </w:rPr>
              <w:t>4</w:t>
            </w:r>
            <w:r>
              <w:rPr>
                <w:rFonts w:ascii="宋体"/>
                <w:color w:val="000000"/>
                <w:sz w:val="24"/>
                <w:szCs w:val="24"/>
                <w:highlight w:val="none"/>
              </w:rPr>
              <w:t>分）：供货方案</w:t>
            </w:r>
            <w:r>
              <w:rPr>
                <w:rFonts w:hint="eastAsia" w:ascii="宋体"/>
                <w:color w:val="000000"/>
                <w:sz w:val="24"/>
                <w:szCs w:val="24"/>
                <w:highlight w:val="none"/>
              </w:rPr>
              <w:t>有基本框架，</w:t>
            </w:r>
            <w:r>
              <w:rPr>
                <w:rFonts w:ascii="宋体"/>
                <w:color w:val="000000"/>
                <w:sz w:val="24"/>
                <w:szCs w:val="24"/>
                <w:highlight w:val="none"/>
              </w:rPr>
              <w:t>有</w:t>
            </w:r>
            <w:r>
              <w:rPr>
                <w:rFonts w:hint="eastAsia" w:ascii="宋体"/>
                <w:color w:val="000000"/>
                <w:sz w:val="24"/>
                <w:szCs w:val="24"/>
                <w:highlight w:val="none"/>
                <w:lang w:eastAsia="zh-CN"/>
              </w:rPr>
              <w:t>货物</w:t>
            </w:r>
            <w:r>
              <w:rPr>
                <w:rFonts w:ascii="宋体"/>
                <w:color w:val="000000"/>
                <w:sz w:val="24"/>
                <w:szCs w:val="24"/>
                <w:highlight w:val="none"/>
              </w:rPr>
              <w:t>的管理及配送进度安排等内容</w:t>
            </w:r>
            <w:r>
              <w:rPr>
                <w:rFonts w:hint="eastAsia" w:ascii="宋体"/>
                <w:color w:val="000000"/>
                <w:sz w:val="24"/>
                <w:szCs w:val="24"/>
                <w:highlight w:val="none"/>
              </w:rPr>
              <w:t>，</w:t>
            </w:r>
            <w:r>
              <w:rPr>
                <w:rFonts w:hint="eastAsia" w:hAnsi="宋体"/>
                <w:bCs/>
                <w:color w:val="000000"/>
                <w:sz w:val="24"/>
                <w:szCs w:val="24"/>
                <w:highlight w:val="none"/>
              </w:rPr>
              <w:t>所有环节步骤清晰，责任人员明确，能确保产品供货；</w:t>
            </w:r>
          </w:p>
          <w:p w14:paraId="6D21B1C5">
            <w:pPr>
              <w:spacing w:line="380" w:lineRule="exact"/>
              <w:rPr>
                <w:rFonts w:hint="eastAsia" w:ascii="宋体"/>
                <w:color w:val="000000"/>
                <w:sz w:val="24"/>
                <w:szCs w:val="24"/>
                <w:highlight w:val="none"/>
              </w:rPr>
            </w:pPr>
            <w:r>
              <w:rPr>
                <w:rFonts w:ascii="宋体"/>
                <w:color w:val="000000"/>
                <w:sz w:val="24"/>
                <w:szCs w:val="24"/>
                <w:highlight w:val="none"/>
              </w:rPr>
              <w:t>二档（</w:t>
            </w:r>
            <w:r>
              <w:rPr>
                <w:rFonts w:hint="eastAsia" w:ascii="宋体"/>
                <w:color w:val="000000"/>
                <w:sz w:val="24"/>
                <w:szCs w:val="24"/>
                <w:highlight w:val="none"/>
                <w:lang w:val="en-US" w:eastAsia="zh-CN"/>
              </w:rPr>
              <w:t>8</w:t>
            </w:r>
            <w:r>
              <w:rPr>
                <w:rFonts w:ascii="宋体"/>
                <w:color w:val="000000"/>
                <w:sz w:val="24"/>
                <w:szCs w:val="24"/>
                <w:highlight w:val="none"/>
              </w:rPr>
              <w:t>分）：供货方案内容完整，制定的</w:t>
            </w:r>
            <w:r>
              <w:rPr>
                <w:rFonts w:hint="eastAsia" w:ascii="宋体"/>
                <w:color w:val="000000"/>
                <w:sz w:val="24"/>
                <w:szCs w:val="24"/>
                <w:highlight w:val="none"/>
                <w:lang w:eastAsia="zh-CN"/>
              </w:rPr>
              <w:t>货物</w:t>
            </w:r>
            <w:r>
              <w:rPr>
                <w:rFonts w:ascii="宋体"/>
                <w:color w:val="000000"/>
                <w:sz w:val="24"/>
                <w:szCs w:val="24"/>
                <w:highlight w:val="none"/>
              </w:rPr>
              <w:t>的管理及配送进度安排</w:t>
            </w:r>
            <w:r>
              <w:rPr>
                <w:rFonts w:hint="eastAsia" w:ascii="宋体"/>
                <w:color w:val="000000"/>
                <w:sz w:val="24"/>
                <w:szCs w:val="24"/>
                <w:highlight w:val="none"/>
              </w:rPr>
              <w:t>合理</w:t>
            </w:r>
            <w:r>
              <w:rPr>
                <w:rFonts w:ascii="宋体"/>
                <w:color w:val="000000"/>
                <w:sz w:val="24"/>
                <w:szCs w:val="24"/>
                <w:highlight w:val="none"/>
              </w:rPr>
              <w:t>，</w:t>
            </w:r>
            <w:r>
              <w:rPr>
                <w:rFonts w:hint="eastAsia" w:hAnsi="宋体"/>
                <w:bCs/>
                <w:color w:val="000000"/>
                <w:sz w:val="24"/>
                <w:szCs w:val="24"/>
                <w:highlight w:val="none"/>
              </w:rPr>
              <w:t>所有环节步骤清晰，责任人员明确，详细列明各实施环节详细的实施办法和保障措施，分析供货流程各环节可能出现的问题并提出解决措施；</w:t>
            </w:r>
          </w:p>
          <w:p w14:paraId="6E75DD55">
            <w:pPr>
              <w:spacing w:line="380" w:lineRule="exact"/>
              <w:rPr>
                <w:rFonts w:ascii="宋体"/>
                <w:color w:val="000000"/>
                <w:sz w:val="24"/>
                <w:szCs w:val="24"/>
                <w:highlight w:val="none"/>
              </w:rPr>
            </w:pPr>
            <w:r>
              <w:rPr>
                <w:rFonts w:hint="eastAsia" w:ascii="宋体"/>
                <w:color w:val="000000"/>
                <w:sz w:val="24"/>
                <w:szCs w:val="24"/>
                <w:highlight w:val="none"/>
              </w:rPr>
              <w:t>三</w:t>
            </w:r>
            <w:r>
              <w:rPr>
                <w:rFonts w:ascii="宋体"/>
                <w:color w:val="000000"/>
                <w:sz w:val="24"/>
                <w:szCs w:val="24"/>
                <w:highlight w:val="none"/>
              </w:rPr>
              <w:t>档（</w:t>
            </w:r>
            <w:r>
              <w:rPr>
                <w:rFonts w:hint="eastAsia" w:ascii="宋体"/>
                <w:color w:val="000000"/>
                <w:sz w:val="24"/>
                <w:szCs w:val="24"/>
                <w:highlight w:val="none"/>
                <w:lang w:val="en-US" w:eastAsia="zh-CN"/>
              </w:rPr>
              <w:t>12</w:t>
            </w:r>
            <w:r>
              <w:rPr>
                <w:rFonts w:ascii="宋体"/>
                <w:color w:val="000000"/>
                <w:sz w:val="24"/>
                <w:szCs w:val="24"/>
                <w:highlight w:val="none"/>
              </w:rPr>
              <w:t>分）：供货方案</w:t>
            </w:r>
            <w:r>
              <w:rPr>
                <w:rFonts w:hint="eastAsia" w:ascii="宋体"/>
                <w:color w:val="000000"/>
                <w:sz w:val="24"/>
                <w:szCs w:val="24"/>
                <w:highlight w:val="none"/>
              </w:rPr>
              <w:t>内容完善可行</w:t>
            </w:r>
            <w:r>
              <w:rPr>
                <w:rFonts w:ascii="宋体"/>
                <w:color w:val="000000"/>
                <w:sz w:val="24"/>
                <w:szCs w:val="24"/>
                <w:highlight w:val="none"/>
              </w:rPr>
              <w:t>，</w:t>
            </w:r>
            <w:r>
              <w:rPr>
                <w:rFonts w:hint="eastAsia" w:ascii="宋体"/>
                <w:color w:val="000000"/>
                <w:sz w:val="24"/>
                <w:szCs w:val="24"/>
                <w:highlight w:val="none"/>
                <w:lang w:eastAsia="zh-CN"/>
              </w:rPr>
              <w:t>货物</w:t>
            </w:r>
            <w:r>
              <w:rPr>
                <w:rFonts w:ascii="宋体"/>
                <w:color w:val="000000"/>
                <w:sz w:val="24"/>
                <w:szCs w:val="24"/>
                <w:highlight w:val="none"/>
              </w:rPr>
              <w:t>的管理及配送进度安排科学合理，有针对性，提供了生产进度时间表、供货进度时间表等，</w:t>
            </w:r>
            <w:r>
              <w:rPr>
                <w:rFonts w:hint="eastAsia" w:hAnsi="宋体"/>
                <w:bCs/>
                <w:color w:val="000000"/>
                <w:sz w:val="24"/>
                <w:szCs w:val="24"/>
                <w:highlight w:val="none"/>
              </w:rPr>
              <w:t>所有环节步骤清晰，责任人员明确，并详细分析本项目的难点重点，提供难重点保障措施和各项应急预案，能够有效保证采购人如期使用。</w:t>
            </w:r>
          </w:p>
          <w:p w14:paraId="1B378695">
            <w:pPr>
              <w:spacing w:line="380" w:lineRule="exact"/>
              <w:rPr>
                <w:rFonts w:ascii="宋体" w:hAnsi="宋体" w:cs="宋体"/>
                <w:sz w:val="24"/>
                <w:szCs w:val="24"/>
                <w:highlight w:val="none"/>
              </w:rPr>
            </w:pPr>
            <w:r>
              <w:rPr>
                <w:rFonts w:hint="eastAsia" w:ascii="宋体" w:hAnsi="宋体" w:cs="宋体"/>
                <w:color w:val="000000"/>
                <w:sz w:val="24"/>
                <w:szCs w:val="24"/>
                <w:highlight w:val="none"/>
              </w:rPr>
              <w:t>注：未提供或不满足入档要求得0分。</w:t>
            </w:r>
          </w:p>
        </w:tc>
      </w:tr>
      <w:tr w14:paraId="52B8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1" w:type="dxa"/>
            <w:vMerge w:val="continue"/>
            <w:tcBorders>
              <w:left w:val="single" w:color="auto" w:sz="4" w:space="0"/>
              <w:right w:val="single" w:color="auto" w:sz="4" w:space="0"/>
            </w:tcBorders>
            <w:vAlign w:val="center"/>
          </w:tcPr>
          <w:p w14:paraId="362B57D8">
            <w:pPr>
              <w:spacing w:line="360" w:lineRule="auto"/>
              <w:jc w:val="left"/>
              <w:rPr>
                <w:rFonts w:hint="eastAsia" w:ascii="宋体" w:hAnsi="宋体" w:cs="宋体"/>
                <w:sz w:val="24"/>
                <w:szCs w:val="24"/>
                <w:highlight w:val="none"/>
              </w:rPr>
            </w:pPr>
          </w:p>
        </w:tc>
        <w:tc>
          <w:tcPr>
            <w:tcW w:w="2418" w:type="dxa"/>
            <w:tcBorders>
              <w:top w:val="single" w:color="auto" w:sz="4" w:space="0"/>
              <w:left w:val="single" w:color="auto" w:sz="4" w:space="0"/>
              <w:right w:val="single" w:color="auto" w:sz="4" w:space="0"/>
            </w:tcBorders>
            <w:vAlign w:val="center"/>
          </w:tcPr>
          <w:p w14:paraId="77A8A6CC">
            <w:pPr>
              <w:spacing w:line="410" w:lineRule="exact"/>
              <w:rPr>
                <w:rFonts w:hint="eastAsia"/>
                <w:bCs/>
                <w:color w:val="000000"/>
                <w:sz w:val="24"/>
                <w:szCs w:val="24"/>
                <w:highlight w:val="none"/>
              </w:rPr>
            </w:pPr>
            <w:r>
              <w:rPr>
                <w:rFonts w:hint="eastAsia"/>
                <w:bCs/>
                <w:color w:val="000000"/>
                <w:sz w:val="24"/>
                <w:szCs w:val="24"/>
                <w:highlight w:val="none"/>
              </w:rPr>
              <w:t>售后服务方案分</w:t>
            </w:r>
          </w:p>
          <w:p w14:paraId="7C041FF4">
            <w:pPr>
              <w:spacing w:line="410" w:lineRule="exact"/>
              <w:rPr>
                <w:rFonts w:hint="eastAsia" w:ascii="宋体" w:hAnsi="宋体" w:cs="宋体"/>
                <w:sz w:val="24"/>
                <w:szCs w:val="24"/>
                <w:highlight w:val="none"/>
              </w:rPr>
            </w:pPr>
            <w:r>
              <w:rPr>
                <w:rFonts w:hint="eastAsia"/>
                <w:bCs/>
                <w:color w:val="000000"/>
                <w:sz w:val="24"/>
                <w:szCs w:val="24"/>
                <w:highlight w:val="none"/>
              </w:rPr>
              <w:t>（满分</w:t>
            </w:r>
            <w:r>
              <w:rPr>
                <w:rFonts w:hint="eastAsia"/>
                <w:bCs/>
                <w:color w:val="000000"/>
                <w:sz w:val="24"/>
                <w:szCs w:val="24"/>
                <w:highlight w:val="none"/>
                <w:lang w:val="en-US" w:eastAsia="zh-CN"/>
              </w:rPr>
              <w:t>8</w:t>
            </w:r>
            <w:r>
              <w:rPr>
                <w:rFonts w:hint="eastAsia"/>
                <w:bCs/>
                <w:color w:val="000000"/>
                <w:sz w:val="24"/>
                <w:szCs w:val="24"/>
                <w:highlight w:val="none"/>
              </w:rPr>
              <w:t>分）</w:t>
            </w:r>
          </w:p>
        </w:tc>
        <w:tc>
          <w:tcPr>
            <w:tcW w:w="7070" w:type="dxa"/>
            <w:tcBorders>
              <w:top w:val="single" w:color="auto" w:sz="4" w:space="0"/>
              <w:left w:val="single" w:color="auto" w:sz="4" w:space="0"/>
              <w:right w:val="single" w:color="auto" w:sz="4" w:space="0"/>
            </w:tcBorders>
            <w:vAlign w:val="center"/>
          </w:tcPr>
          <w:p w14:paraId="58292380">
            <w:pPr>
              <w:spacing w:line="380" w:lineRule="exact"/>
              <w:rPr>
                <w:rFonts w:hint="eastAsia" w:ascii="宋体" w:hAnsi="宋体" w:cs="宋体"/>
                <w:sz w:val="24"/>
                <w:szCs w:val="24"/>
                <w:highlight w:val="none"/>
              </w:rPr>
            </w:pP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在</w:t>
            </w:r>
            <w:r>
              <w:rPr>
                <w:rFonts w:hint="eastAsia" w:ascii="宋体" w:hAnsi="宋体" w:cs="宋体"/>
                <w:color w:val="000000"/>
                <w:kern w:val="0"/>
                <w:sz w:val="24"/>
                <w:szCs w:val="24"/>
                <w:highlight w:val="none"/>
                <w:lang w:eastAsia="zh-CN"/>
              </w:rPr>
              <w:t>响应文件</w:t>
            </w:r>
            <w:r>
              <w:rPr>
                <w:rFonts w:hint="eastAsia" w:ascii="宋体" w:hAnsi="宋体" w:cs="宋体"/>
                <w:color w:val="000000"/>
                <w:kern w:val="0"/>
                <w:sz w:val="24"/>
                <w:szCs w:val="24"/>
                <w:highlight w:val="none"/>
              </w:rPr>
              <w:t>提供售后服务方案，详细说明售后服务的内容和形式</w:t>
            </w:r>
            <w:r>
              <w:rPr>
                <w:rFonts w:hint="eastAsia" w:ascii="宋体" w:hAnsi="宋体" w:cs="宋体"/>
                <w:color w:val="000000"/>
                <w:kern w:val="0"/>
                <w:sz w:val="24"/>
                <w:szCs w:val="24"/>
                <w:highlight w:val="none"/>
                <w:lang w:eastAsia="zh-CN"/>
              </w:rPr>
              <w:t>，包含四个内容：</w:t>
            </w:r>
            <w:r>
              <w:rPr>
                <w:rFonts w:hint="eastAsia" w:ascii="宋体" w:hAnsi="宋体" w:cs="宋体"/>
                <w:color w:val="000000"/>
                <w:sz w:val="24"/>
                <w:szCs w:val="24"/>
                <w:highlight w:val="none"/>
              </w:rPr>
              <w:t>人员配备及保障、</w:t>
            </w:r>
            <w:r>
              <w:rPr>
                <w:rFonts w:hint="eastAsia" w:ascii="宋体" w:hAnsi="宋体" w:cs="宋体"/>
                <w:color w:val="000000"/>
                <w:kern w:val="0"/>
                <w:sz w:val="24"/>
                <w:szCs w:val="24"/>
                <w:highlight w:val="none"/>
              </w:rPr>
              <w:t>解决质量或操作问题的响应时间、解决问题时间、售后质量保证承诺。</w:t>
            </w:r>
            <w:r>
              <w:rPr>
                <w:rFonts w:hint="eastAsia" w:ascii="宋体" w:hAnsi="宋体" w:cs="宋体"/>
                <w:color w:val="000000"/>
                <w:sz w:val="24"/>
                <w:szCs w:val="24"/>
                <w:highlight w:val="none"/>
              </w:rPr>
              <w:t>每有1项内容且</w:t>
            </w:r>
            <w:r>
              <w:rPr>
                <w:rFonts w:hint="eastAsia" w:ascii="宋体" w:hAnsi="宋体" w:cs="宋体"/>
                <w:color w:val="000000"/>
                <w:sz w:val="24"/>
                <w:szCs w:val="24"/>
                <w:highlight w:val="none"/>
                <w:lang w:eastAsia="zh-CN"/>
              </w:rPr>
              <w:t>被评审小组认为</w:t>
            </w:r>
            <w:r>
              <w:rPr>
                <w:rFonts w:hint="eastAsia" w:ascii="宋体" w:hAnsi="宋体" w:cs="宋体"/>
                <w:color w:val="000000"/>
                <w:sz w:val="24"/>
                <w:szCs w:val="24"/>
                <w:highlight w:val="none"/>
              </w:rPr>
              <w:t>可行的得</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分，满分</w:t>
            </w:r>
            <w:r>
              <w:rPr>
                <w:rFonts w:hint="eastAsia" w:ascii="宋体" w:hAnsi="宋体" w:cs="宋体"/>
                <w:color w:val="000000"/>
                <w:sz w:val="24"/>
                <w:szCs w:val="24"/>
                <w:highlight w:val="none"/>
                <w:lang w:val="en-US" w:eastAsia="zh-CN"/>
              </w:rPr>
              <w:t>8</w:t>
            </w:r>
            <w:r>
              <w:rPr>
                <w:rFonts w:hint="eastAsia" w:ascii="宋体" w:hAnsi="宋体" w:cs="宋体"/>
                <w:color w:val="000000"/>
                <w:sz w:val="24"/>
                <w:szCs w:val="24"/>
                <w:highlight w:val="none"/>
              </w:rPr>
              <w:t>分。</w:t>
            </w:r>
          </w:p>
        </w:tc>
      </w:tr>
      <w:tr w14:paraId="14C5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7AD1791C">
            <w:pPr>
              <w:spacing w:line="360" w:lineRule="auto"/>
              <w:jc w:val="left"/>
              <w:rPr>
                <w:rFonts w:ascii="宋体" w:hAnsi="宋体" w:cs="宋体"/>
                <w:sz w:val="24"/>
                <w:szCs w:val="24"/>
                <w:highlight w:val="none"/>
              </w:rPr>
            </w:pPr>
            <w:r>
              <w:rPr>
                <w:rFonts w:hint="eastAsia" w:ascii="宋体" w:hAnsi="宋体" w:cs="宋体"/>
                <w:sz w:val="24"/>
                <w:szCs w:val="24"/>
                <w:highlight w:val="none"/>
              </w:rPr>
              <w:t>商务部分（</w:t>
            </w:r>
            <w:r>
              <w:rPr>
                <w:rFonts w:hint="eastAsia" w:ascii="宋体" w:hAnsi="宋体" w:cs="宋体"/>
                <w:sz w:val="24"/>
                <w:szCs w:val="24"/>
                <w:highlight w:val="none"/>
                <w:lang w:val="en-US" w:eastAsia="zh-CN"/>
              </w:rPr>
              <w:t>10</w:t>
            </w:r>
            <w:r>
              <w:rPr>
                <w:rFonts w:hint="eastAsia" w:ascii="宋体" w:hAnsi="宋体" w:cs="宋体"/>
                <w:sz w:val="24"/>
                <w:szCs w:val="24"/>
                <w:highlight w:val="none"/>
              </w:rPr>
              <w:t>分）</w:t>
            </w:r>
          </w:p>
        </w:tc>
        <w:tc>
          <w:tcPr>
            <w:tcW w:w="2418" w:type="dxa"/>
            <w:tcBorders>
              <w:top w:val="single" w:color="auto" w:sz="4" w:space="0"/>
              <w:left w:val="single" w:color="auto" w:sz="4" w:space="0"/>
              <w:bottom w:val="single" w:color="auto" w:sz="4" w:space="0"/>
              <w:right w:val="single" w:color="auto" w:sz="4" w:space="0"/>
            </w:tcBorders>
            <w:vAlign w:val="center"/>
          </w:tcPr>
          <w:p w14:paraId="595D7C9B">
            <w:pPr>
              <w:spacing w:line="360" w:lineRule="auto"/>
              <w:jc w:val="left"/>
              <w:rPr>
                <w:rFonts w:hint="eastAsia" w:ascii="宋体" w:hAnsi="宋体" w:cs="宋体"/>
                <w:sz w:val="24"/>
                <w:szCs w:val="24"/>
                <w:highlight w:val="none"/>
                <w:lang w:eastAsia="zh-CN"/>
              </w:rPr>
            </w:pPr>
            <w:r>
              <w:rPr>
                <w:rFonts w:hint="eastAsia" w:ascii="宋体" w:hAnsi="宋体" w:cs="宋体"/>
                <w:sz w:val="24"/>
                <w:szCs w:val="24"/>
                <w:highlight w:val="none"/>
              </w:rPr>
              <w:t>业绩</w:t>
            </w:r>
            <w:r>
              <w:rPr>
                <w:rFonts w:hint="eastAsia" w:ascii="宋体" w:hAnsi="宋体" w:cs="宋体"/>
                <w:sz w:val="24"/>
                <w:szCs w:val="24"/>
                <w:highlight w:val="none"/>
                <w:lang w:eastAsia="zh-CN"/>
              </w:rPr>
              <w:t>分</w:t>
            </w:r>
          </w:p>
          <w:p w14:paraId="59A5384C">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（满分</w:t>
            </w:r>
            <w:r>
              <w:rPr>
                <w:rFonts w:hint="eastAsia" w:ascii="宋体" w:hAnsi="宋体" w:cs="宋体"/>
                <w:sz w:val="24"/>
                <w:szCs w:val="24"/>
                <w:highlight w:val="none"/>
                <w:lang w:val="en-US" w:eastAsia="zh-CN"/>
              </w:rPr>
              <w:t>10</w:t>
            </w:r>
            <w:r>
              <w:rPr>
                <w:rFonts w:hint="eastAsia" w:ascii="宋体" w:hAnsi="宋体" w:cs="宋体"/>
                <w:sz w:val="24"/>
                <w:szCs w:val="24"/>
                <w:highlight w:val="none"/>
              </w:rPr>
              <w:t>分）</w:t>
            </w:r>
          </w:p>
        </w:tc>
        <w:tc>
          <w:tcPr>
            <w:tcW w:w="7070" w:type="dxa"/>
            <w:tcBorders>
              <w:top w:val="single" w:color="auto" w:sz="4" w:space="0"/>
              <w:left w:val="single" w:color="auto" w:sz="4" w:space="0"/>
              <w:bottom w:val="single" w:color="auto" w:sz="4" w:space="0"/>
              <w:right w:val="single" w:color="auto" w:sz="4" w:space="0"/>
            </w:tcBorders>
            <w:vAlign w:val="top"/>
          </w:tcPr>
          <w:p w14:paraId="55E7E89D">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供应商202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年1月1日至响应文件递交截止时间具有同类项目业绩的，每有1项得</w:t>
            </w:r>
            <w:r>
              <w:rPr>
                <w:rFonts w:hint="eastAsia" w:ascii="宋体" w:hAnsi="宋体" w:cs="宋体"/>
                <w:sz w:val="24"/>
                <w:szCs w:val="24"/>
                <w:highlight w:val="none"/>
                <w:lang w:val="en-US" w:eastAsia="zh-CN"/>
              </w:rPr>
              <w:t>1</w:t>
            </w:r>
            <w:r>
              <w:rPr>
                <w:rFonts w:hint="eastAsia" w:ascii="宋体" w:hAnsi="宋体" w:cs="宋体"/>
                <w:sz w:val="24"/>
                <w:szCs w:val="24"/>
                <w:highlight w:val="none"/>
              </w:rPr>
              <w:t>分，满分</w:t>
            </w:r>
            <w:r>
              <w:rPr>
                <w:rFonts w:hint="eastAsia" w:ascii="宋体" w:hAnsi="宋体" w:cs="宋体"/>
                <w:sz w:val="24"/>
                <w:szCs w:val="24"/>
                <w:highlight w:val="none"/>
                <w:lang w:val="en-US" w:eastAsia="zh-CN"/>
              </w:rPr>
              <w:t>10</w:t>
            </w:r>
            <w:r>
              <w:rPr>
                <w:rFonts w:hint="eastAsia" w:ascii="宋体" w:hAnsi="宋体" w:cs="宋体"/>
                <w:sz w:val="24"/>
                <w:szCs w:val="24"/>
                <w:highlight w:val="none"/>
              </w:rPr>
              <w:t>分。响应文件中提供合同复印件并加盖供应商公章。</w:t>
            </w:r>
          </w:p>
        </w:tc>
      </w:tr>
      <w:tr w14:paraId="1B16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899" w:type="dxa"/>
            <w:gridSpan w:val="3"/>
            <w:tcBorders>
              <w:top w:val="single" w:color="auto" w:sz="4" w:space="0"/>
              <w:left w:val="single" w:color="auto" w:sz="4" w:space="0"/>
              <w:bottom w:val="single" w:color="auto" w:sz="4" w:space="0"/>
              <w:right w:val="single" w:color="auto" w:sz="4" w:space="0"/>
            </w:tcBorders>
            <w:vAlign w:val="center"/>
          </w:tcPr>
          <w:p w14:paraId="36AEE103">
            <w:pPr>
              <w:spacing w:line="360" w:lineRule="auto"/>
              <w:jc w:val="left"/>
              <w:rPr>
                <w:rFonts w:ascii="宋体" w:hAnsi="宋体" w:cs="宋体"/>
                <w:sz w:val="24"/>
                <w:szCs w:val="24"/>
                <w:highlight w:val="none"/>
              </w:rPr>
            </w:pPr>
            <w:r>
              <w:rPr>
                <w:rFonts w:hint="eastAsia" w:ascii="宋体" w:hAnsi="宋体" w:cs="宋体"/>
                <w:sz w:val="24"/>
                <w:szCs w:val="24"/>
                <w:highlight w:val="none"/>
              </w:rPr>
              <w:t>总分（100分）</w:t>
            </w:r>
          </w:p>
        </w:tc>
      </w:tr>
    </w:tbl>
    <w:p w14:paraId="15DCCE07">
      <w:pPr>
        <w:pStyle w:val="13"/>
        <w:spacing w:line="400" w:lineRule="exact"/>
        <w:rPr>
          <w:rFonts w:hAnsi="宋体"/>
          <w:bCs/>
        </w:rPr>
      </w:pPr>
      <w:r>
        <w:rPr>
          <w:rFonts w:hint="eastAsia" w:hAnsi="宋体"/>
          <w:bCs/>
        </w:rPr>
        <w:t>注：计分方法按四舍五入取至百分位。</w:t>
      </w:r>
    </w:p>
    <w:p w14:paraId="0A4766C1">
      <w:pPr>
        <w:pStyle w:val="13"/>
        <w:spacing w:line="400" w:lineRule="exact"/>
        <w:rPr>
          <w:rFonts w:hAnsi="宋体"/>
          <w:bCs/>
        </w:rPr>
      </w:pPr>
    </w:p>
    <w:p w14:paraId="7D6CF2A2">
      <w:pPr>
        <w:pStyle w:val="3"/>
      </w:pPr>
      <w:r>
        <w:rPr>
          <w:rFonts w:hint="eastAsia"/>
        </w:rPr>
        <w:t>候选人推荐原则：采购小组将根据总得分由高到低排列次序并推荐中标候选人。得分相同的，以投标报价由低到高顺序排列。得分相同且投标报价相同的并列，报价文件满足招标文件全部实质性要求，且按照评审因素的量化指标评审得分最高的</w:t>
      </w:r>
      <w:r>
        <w:rPr>
          <w:rFonts w:hint="eastAsia"/>
          <w:lang w:eastAsia="zh-CN"/>
        </w:rPr>
        <w:t>供应商</w:t>
      </w:r>
      <w:r>
        <w:rPr>
          <w:rFonts w:hint="eastAsia"/>
        </w:rPr>
        <w:t>为排名第一的中标候选人（另有约定的除外）。</w:t>
      </w:r>
    </w:p>
    <w:p w14:paraId="41295E74">
      <w:pPr>
        <w:widowControl/>
        <w:jc w:val="left"/>
        <w:rPr>
          <w:rFonts w:ascii="仿宋" w:hAnsi="仿宋" w:eastAsia="仿宋" w:cs="仿宋"/>
          <w:bCs/>
          <w:sz w:val="28"/>
          <w:szCs w:val="28"/>
        </w:rPr>
      </w:pPr>
    </w:p>
    <w:sectPr>
      <w:pgSz w:w="11906" w:h="16838"/>
      <w:pgMar w:top="1418" w:right="1555" w:bottom="1418"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193CA">
    <w:pPr>
      <w:pStyle w:val="15"/>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9ABF395">
                <w:pPr>
                  <w:pStyle w:val="1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CC473">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08F5">
    <w:pPr>
      <w:pStyle w:val="15"/>
      <w:tabs>
        <w:tab w:val="left" w:pos="5995"/>
        <w:tab w:val="clear" w:pos="4153"/>
      </w:tabs>
      <w:jc w:val="both"/>
      <w:rPr>
        <w:rFonts w:ascii="Times New Roman" w:hAnsi="Times New Roman" w:eastAsia="仿宋_GB2312"/>
        <w:sz w:val="24"/>
      </w:rPr>
    </w:pPr>
    <w:r>
      <w:rPr>
        <w:sz w:val="24"/>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CA4A7F2">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r>
      <w:rPr>
        <w:sz w:val="24"/>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E6D951A">
                <w:pPr>
                  <w:pStyle w:val="15"/>
                  <w:jc w:val="center"/>
                </w:pPr>
              </w:p>
            </w:txbxContent>
          </v:textbox>
        </v:shape>
      </w:pict>
    </w:r>
    <w:r>
      <w:rPr>
        <w:rFonts w:hint="eastAsia" w:ascii="Times New Roman" w:hAnsi="Times New Roman" w:eastAsia="仿宋_GB2312"/>
        <w:sz w:val="24"/>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50A52">
    <w:pPr>
      <w:pStyle w:val="15"/>
    </w:pPr>
    <w:r>
      <w:rPr>
        <w:sz w:val="18"/>
      </w:rP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86307B9">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D9D69"/>
    <w:multiLevelType w:val="singleLevel"/>
    <w:tmpl w:val="3F4D9D6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g0YjRlNWU1MTNmNTNlNDQ0NGVhYTdmNzNlMjllYTEifQ=="/>
  </w:docVars>
  <w:rsids>
    <w:rsidRoot w:val="7DC52EA5"/>
    <w:rsid w:val="0001182B"/>
    <w:rsid w:val="00014122"/>
    <w:rsid w:val="00043EDC"/>
    <w:rsid w:val="00045C7B"/>
    <w:rsid w:val="00054B27"/>
    <w:rsid w:val="00071A4F"/>
    <w:rsid w:val="00073669"/>
    <w:rsid w:val="00081AE6"/>
    <w:rsid w:val="00082772"/>
    <w:rsid w:val="000840FC"/>
    <w:rsid w:val="000C5FB1"/>
    <w:rsid w:val="000C6C70"/>
    <w:rsid w:val="000E392E"/>
    <w:rsid w:val="001062E2"/>
    <w:rsid w:val="00107A7E"/>
    <w:rsid w:val="00111C68"/>
    <w:rsid w:val="0012320E"/>
    <w:rsid w:val="00125313"/>
    <w:rsid w:val="0015387F"/>
    <w:rsid w:val="00161D83"/>
    <w:rsid w:val="001B21C5"/>
    <w:rsid w:val="001C076D"/>
    <w:rsid w:val="001F37DE"/>
    <w:rsid w:val="00240444"/>
    <w:rsid w:val="00261511"/>
    <w:rsid w:val="002A3088"/>
    <w:rsid w:val="002D3B8F"/>
    <w:rsid w:val="002F487E"/>
    <w:rsid w:val="0030745F"/>
    <w:rsid w:val="00322F04"/>
    <w:rsid w:val="00362F88"/>
    <w:rsid w:val="00381ECF"/>
    <w:rsid w:val="00386FF7"/>
    <w:rsid w:val="00393FB3"/>
    <w:rsid w:val="003975A1"/>
    <w:rsid w:val="003A2758"/>
    <w:rsid w:val="004076FC"/>
    <w:rsid w:val="00422B7B"/>
    <w:rsid w:val="0043007C"/>
    <w:rsid w:val="00432596"/>
    <w:rsid w:val="00432E9A"/>
    <w:rsid w:val="00435EA6"/>
    <w:rsid w:val="00441693"/>
    <w:rsid w:val="0044211D"/>
    <w:rsid w:val="00472F26"/>
    <w:rsid w:val="004951A6"/>
    <w:rsid w:val="004A1324"/>
    <w:rsid w:val="004C6BAB"/>
    <w:rsid w:val="004E2EB6"/>
    <w:rsid w:val="004F5233"/>
    <w:rsid w:val="00522D62"/>
    <w:rsid w:val="005435D4"/>
    <w:rsid w:val="005638E0"/>
    <w:rsid w:val="0057666D"/>
    <w:rsid w:val="005A6ADD"/>
    <w:rsid w:val="005F1C0C"/>
    <w:rsid w:val="0061446B"/>
    <w:rsid w:val="006251E3"/>
    <w:rsid w:val="006356B5"/>
    <w:rsid w:val="00674576"/>
    <w:rsid w:val="0068704D"/>
    <w:rsid w:val="006930AF"/>
    <w:rsid w:val="00693A10"/>
    <w:rsid w:val="006978BC"/>
    <w:rsid w:val="006A23BB"/>
    <w:rsid w:val="006B0D15"/>
    <w:rsid w:val="006D3BD1"/>
    <w:rsid w:val="006E6E7D"/>
    <w:rsid w:val="00730CB5"/>
    <w:rsid w:val="00760394"/>
    <w:rsid w:val="00763219"/>
    <w:rsid w:val="00784913"/>
    <w:rsid w:val="00786A28"/>
    <w:rsid w:val="00795C07"/>
    <w:rsid w:val="007A163C"/>
    <w:rsid w:val="007B0362"/>
    <w:rsid w:val="007C65D1"/>
    <w:rsid w:val="007E01DF"/>
    <w:rsid w:val="007E0476"/>
    <w:rsid w:val="007E2623"/>
    <w:rsid w:val="007E507F"/>
    <w:rsid w:val="00801E09"/>
    <w:rsid w:val="00850557"/>
    <w:rsid w:val="00864780"/>
    <w:rsid w:val="00865D1D"/>
    <w:rsid w:val="008C1C7E"/>
    <w:rsid w:val="008E5264"/>
    <w:rsid w:val="008E7FCE"/>
    <w:rsid w:val="00920ABE"/>
    <w:rsid w:val="00921224"/>
    <w:rsid w:val="00926C26"/>
    <w:rsid w:val="009557B2"/>
    <w:rsid w:val="00956B38"/>
    <w:rsid w:val="00977A56"/>
    <w:rsid w:val="00990679"/>
    <w:rsid w:val="00990B9C"/>
    <w:rsid w:val="009E2EB2"/>
    <w:rsid w:val="00A128E1"/>
    <w:rsid w:val="00AB3939"/>
    <w:rsid w:val="00AB3997"/>
    <w:rsid w:val="00AB3CF9"/>
    <w:rsid w:val="00AC6369"/>
    <w:rsid w:val="00AC6406"/>
    <w:rsid w:val="00AC6B4E"/>
    <w:rsid w:val="00AF024F"/>
    <w:rsid w:val="00B03B65"/>
    <w:rsid w:val="00B2573F"/>
    <w:rsid w:val="00B3440F"/>
    <w:rsid w:val="00B36373"/>
    <w:rsid w:val="00B65A4F"/>
    <w:rsid w:val="00B75D70"/>
    <w:rsid w:val="00B82B0F"/>
    <w:rsid w:val="00B94D4A"/>
    <w:rsid w:val="00BF367B"/>
    <w:rsid w:val="00C06477"/>
    <w:rsid w:val="00C06A1E"/>
    <w:rsid w:val="00C20F98"/>
    <w:rsid w:val="00C307AE"/>
    <w:rsid w:val="00C571A7"/>
    <w:rsid w:val="00C62041"/>
    <w:rsid w:val="00C87E5D"/>
    <w:rsid w:val="00C93C68"/>
    <w:rsid w:val="00C941BC"/>
    <w:rsid w:val="00CA299B"/>
    <w:rsid w:val="00CC1F4A"/>
    <w:rsid w:val="00CC60EA"/>
    <w:rsid w:val="00CD0B82"/>
    <w:rsid w:val="00D30840"/>
    <w:rsid w:val="00D3288F"/>
    <w:rsid w:val="00D42FF9"/>
    <w:rsid w:val="00D566D7"/>
    <w:rsid w:val="00D57EB3"/>
    <w:rsid w:val="00D62EA4"/>
    <w:rsid w:val="00D709EE"/>
    <w:rsid w:val="00DB290D"/>
    <w:rsid w:val="00DD5202"/>
    <w:rsid w:val="00DD6948"/>
    <w:rsid w:val="00E03DBB"/>
    <w:rsid w:val="00E05796"/>
    <w:rsid w:val="00E20177"/>
    <w:rsid w:val="00E35AA4"/>
    <w:rsid w:val="00E37ECF"/>
    <w:rsid w:val="00E978CC"/>
    <w:rsid w:val="00EA014B"/>
    <w:rsid w:val="00F22A1E"/>
    <w:rsid w:val="00F26369"/>
    <w:rsid w:val="00F328CD"/>
    <w:rsid w:val="00F435E1"/>
    <w:rsid w:val="00F71BF6"/>
    <w:rsid w:val="00F82AAF"/>
    <w:rsid w:val="00F9168F"/>
    <w:rsid w:val="00FA460F"/>
    <w:rsid w:val="00FD06E9"/>
    <w:rsid w:val="00FD3B7D"/>
    <w:rsid w:val="00FD4BB4"/>
    <w:rsid w:val="00FE5CCE"/>
    <w:rsid w:val="00FF47F4"/>
    <w:rsid w:val="010F2C79"/>
    <w:rsid w:val="0180460C"/>
    <w:rsid w:val="018207C5"/>
    <w:rsid w:val="01A31ABB"/>
    <w:rsid w:val="01A63B7F"/>
    <w:rsid w:val="023B042D"/>
    <w:rsid w:val="029307AF"/>
    <w:rsid w:val="029E4497"/>
    <w:rsid w:val="02B04C50"/>
    <w:rsid w:val="02B56978"/>
    <w:rsid w:val="02D2724D"/>
    <w:rsid w:val="02F2197A"/>
    <w:rsid w:val="02FA082F"/>
    <w:rsid w:val="033B2485"/>
    <w:rsid w:val="03593C27"/>
    <w:rsid w:val="03850F0A"/>
    <w:rsid w:val="03D60954"/>
    <w:rsid w:val="03F10EDE"/>
    <w:rsid w:val="03F139E0"/>
    <w:rsid w:val="043307A6"/>
    <w:rsid w:val="04814D63"/>
    <w:rsid w:val="04D255BF"/>
    <w:rsid w:val="04DD7D0E"/>
    <w:rsid w:val="04EF0EBA"/>
    <w:rsid w:val="05146811"/>
    <w:rsid w:val="05177476"/>
    <w:rsid w:val="05483AD3"/>
    <w:rsid w:val="055A7363"/>
    <w:rsid w:val="05692B22"/>
    <w:rsid w:val="057523EE"/>
    <w:rsid w:val="058332BF"/>
    <w:rsid w:val="05E07758"/>
    <w:rsid w:val="06456716"/>
    <w:rsid w:val="067F6A05"/>
    <w:rsid w:val="069A035E"/>
    <w:rsid w:val="06BC6527"/>
    <w:rsid w:val="06BF03B5"/>
    <w:rsid w:val="06C13B3D"/>
    <w:rsid w:val="0780250D"/>
    <w:rsid w:val="07C531B9"/>
    <w:rsid w:val="085B1D6F"/>
    <w:rsid w:val="087658EC"/>
    <w:rsid w:val="08D710E1"/>
    <w:rsid w:val="0932260E"/>
    <w:rsid w:val="0946699E"/>
    <w:rsid w:val="09497E1A"/>
    <w:rsid w:val="09771111"/>
    <w:rsid w:val="099C263F"/>
    <w:rsid w:val="09CB082F"/>
    <w:rsid w:val="0A01263D"/>
    <w:rsid w:val="0A48692C"/>
    <w:rsid w:val="0A613847"/>
    <w:rsid w:val="0A667025"/>
    <w:rsid w:val="0A6C2705"/>
    <w:rsid w:val="0A7113D6"/>
    <w:rsid w:val="0ADB2CF4"/>
    <w:rsid w:val="0ADE0D1E"/>
    <w:rsid w:val="0B662F05"/>
    <w:rsid w:val="0B7A250D"/>
    <w:rsid w:val="0B7A5D95"/>
    <w:rsid w:val="0B815649"/>
    <w:rsid w:val="0BE5207C"/>
    <w:rsid w:val="0C4A6383"/>
    <w:rsid w:val="0C75118B"/>
    <w:rsid w:val="0C7C6B22"/>
    <w:rsid w:val="0C866740"/>
    <w:rsid w:val="0D192328"/>
    <w:rsid w:val="0D742DF1"/>
    <w:rsid w:val="0D811BCF"/>
    <w:rsid w:val="0DB241E0"/>
    <w:rsid w:val="0DEF3C89"/>
    <w:rsid w:val="0E9F5658"/>
    <w:rsid w:val="0EE303C9"/>
    <w:rsid w:val="0F283D96"/>
    <w:rsid w:val="0F8B2784"/>
    <w:rsid w:val="0FC63F72"/>
    <w:rsid w:val="0FF52AA9"/>
    <w:rsid w:val="105351A2"/>
    <w:rsid w:val="105567E3"/>
    <w:rsid w:val="10577F97"/>
    <w:rsid w:val="10991687"/>
    <w:rsid w:val="11252F1A"/>
    <w:rsid w:val="1154173C"/>
    <w:rsid w:val="11847C41"/>
    <w:rsid w:val="11B85B3D"/>
    <w:rsid w:val="11C25632"/>
    <w:rsid w:val="11D96D94"/>
    <w:rsid w:val="120E7E53"/>
    <w:rsid w:val="122B3102"/>
    <w:rsid w:val="125860AD"/>
    <w:rsid w:val="1266498D"/>
    <w:rsid w:val="12705C37"/>
    <w:rsid w:val="12EA61CA"/>
    <w:rsid w:val="12F069E9"/>
    <w:rsid w:val="12F11027"/>
    <w:rsid w:val="13272F7A"/>
    <w:rsid w:val="13754D82"/>
    <w:rsid w:val="138F09C8"/>
    <w:rsid w:val="13AE1F3B"/>
    <w:rsid w:val="13B73411"/>
    <w:rsid w:val="13B80076"/>
    <w:rsid w:val="13C06F2A"/>
    <w:rsid w:val="13C20EF5"/>
    <w:rsid w:val="13CC3E1E"/>
    <w:rsid w:val="13E17686"/>
    <w:rsid w:val="14060DE1"/>
    <w:rsid w:val="143C28F6"/>
    <w:rsid w:val="14436EA8"/>
    <w:rsid w:val="14445DAD"/>
    <w:rsid w:val="14591A0E"/>
    <w:rsid w:val="146F5D26"/>
    <w:rsid w:val="14860BF1"/>
    <w:rsid w:val="14922675"/>
    <w:rsid w:val="14C50C9C"/>
    <w:rsid w:val="14CA62B3"/>
    <w:rsid w:val="157E709D"/>
    <w:rsid w:val="158F4E06"/>
    <w:rsid w:val="15AA3169"/>
    <w:rsid w:val="15FF306C"/>
    <w:rsid w:val="162C6AF9"/>
    <w:rsid w:val="17107B4D"/>
    <w:rsid w:val="176463EC"/>
    <w:rsid w:val="1765105F"/>
    <w:rsid w:val="1767428D"/>
    <w:rsid w:val="17C70110"/>
    <w:rsid w:val="17E92EF4"/>
    <w:rsid w:val="180D7890"/>
    <w:rsid w:val="18AE7C99"/>
    <w:rsid w:val="18C261C8"/>
    <w:rsid w:val="19294C0B"/>
    <w:rsid w:val="19A4072D"/>
    <w:rsid w:val="19E20B4E"/>
    <w:rsid w:val="1A2A2FFC"/>
    <w:rsid w:val="1A5403CD"/>
    <w:rsid w:val="1A8C7B66"/>
    <w:rsid w:val="1AA03612"/>
    <w:rsid w:val="1AA7482F"/>
    <w:rsid w:val="1AB62E35"/>
    <w:rsid w:val="1AB74248"/>
    <w:rsid w:val="1AEA05DF"/>
    <w:rsid w:val="1AED4AA9"/>
    <w:rsid w:val="1B0555B5"/>
    <w:rsid w:val="1B1C538E"/>
    <w:rsid w:val="1B4641B9"/>
    <w:rsid w:val="1B7768E6"/>
    <w:rsid w:val="1B8E0FA5"/>
    <w:rsid w:val="1BA710FC"/>
    <w:rsid w:val="1BBA70EA"/>
    <w:rsid w:val="1BF51B32"/>
    <w:rsid w:val="1C406E5A"/>
    <w:rsid w:val="1C485D0F"/>
    <w:rsid w:val="1C534DE0"/>
    <w:rsid w:val="1CBB4733"/>
    <w:rsid w:val="1CEE1205"/>
    <w:rsid w:val="1D507571"/>
    <w:rsid w:val="1D552DD9"/>
    <w:rsid w:val="1DB80A1F"/>
    <w:rsid w:val="1DCD6828"/>
    <w:rsid w:val="1DF20628"/>
    <w:rsid w:val="1E0B5246"/>
    <w:rsid w:val="1E340C41"/>
    <w:rsid w:val="1E4E1D03"/>
    <w:rsid w:val="1E962E2C"/>
    <w:rsid w:val="1F0321A7"/>
    <w:rsid w:val="1F364065"/>
    <w:rsid w:val="1FC72E9A"/>
    <w:rsid w:val="200F5F18"/>
    <w:rsid w:val="20144886"/>
    <w:rsid w:val="206218F3"/>
    <w:rsid w:val="206718C3"/>
    <w:rsid w:val="207E02D8"/>
    <w:rsid w:val="208D7F5E"/>
    <w:rsid w:val="20D14525"/>
    <w:rsid w:val="210D2CB1"/>
    <w:rsid w:val="212925B3"/>
    <w:rsid w:val="21395EDD"/>
    <w:rsid w:val="215A237F"/>
    <w:rsid w:val="219C4485"/>
    <w:rsid w:val="221A1EFC"/>
    <w:rsid w:val="22420EF6"/>
    <w:rsid w:val="2277565C"/>
    <w:rsid w:val="22993768"/>
    <w:rsid w:val="22B91715"/>
    <w:rsid w:val="23101BA9"/>
    <w:rsid w:val="23701704"/>
    <w:rsid w:val="23832C42"/>
    <w:rsid w:val="238C68D9"/>
    <w:rsid w:val="23D74548"/>
    <w:rsid w:val="2431606C"/>
    <w:rsid w:val="243F3E9B"/>
    <w:rsid w:val="24651B54"/>
    <w:rsid w:val="247022A7"/>
    <w:rsid w:val="24B6415E"/>
    <w:rsid w:val="24BB1774"/>
    <w:rsid w:val="250F1AC0"/>
    <w:rsid w:val="25227EA9"/>
    <w:rsid w:val="25283D1B"/>
    <w:rsid w:val="25286BFC"/>
    <w:rsid w:val="252A3F57"/>
    <w:rsid w:val="25700B6C"/>
    <w:rsid w:val="25783B09"/>
    <w:rsid w:val="259721E1"/>
    <w:rsid w:val="25CD4E9E"/>
    <w:rsid w:val="2610789E"/>
    <w:rsid w:val="26337076"/>
    <w:rsid w:val="265A1BB4"/>
    <w:rsid w:val="266B278A"/>
    <w:rsid w:val="2673570E"/>
    <w:rsid w:val="26D11723"/>
    <w:rsid w:val="26DA3033"/>
    <w:rsid w:val="276D77B5"/>
    <w:rsid w:val="27D71703"/>
    <w:rsid w:val="286914E7"/>
    <w:rsid w:val="288307FB"/>
    <w:rsid w:val="28AD40F4"/>
    <w:rsid w:val="28ED60D4"/>
    <w:rsid w:val="28F9175A"/>
    <w:rsid w:val="28FC7C1A"/>
    <w:rsid w:val="29015BC3"/>
    <w:rsid w:val="291A4E2F"/>
    <w:rsid w:val="29606D8E"/>
    <w:rsid w:val="296930F2"/>
    <w:rsid w:val="29906483"/>
    <w:rsid w:val="29AC526A"/>
    <w:rsid w:val="29BB2216"/>
    <w:rsid w:val="29CF4022"/>
    <w:rsid w:val="2A227790"/>
    <w:rsid w:val="2A4C3A21"/>
    <w:rsid w:val="2A580712"/>
    <w:rsid w:val="2A756869"/>
    <w:rsid w:val="2A832D34"/>
    <w:rsid w:val="2A8A31B3"/>
    <w:rsid w:val="2AB32EED"/>
    <w:rsid w:val="2AC754C9"/>
    <w:rsid w:val="2AFE060C"/>
    <w:rsid w:val="2B0459C6"/>
    <w:rsid w:val="2B2F56A3"/>
    <w:rsid w:val="2B571086"/>
    <w:rsid w:val="2B6B072A"/>
    <w:rsid w:val="2BA7612C"/>
    <w:rsid w:val="2BB331A5"/>
    <w:rsid w:val="2C2916B9"/>
    <w:rsid w:val="2C2D5207"/>
    <w:rsid w:val="2C520C10"/>
    <w:rsid w:val="2C772839"/>
    <w:rsid w:val="2CA50EF2"/>
    <w:rsid w:val="2CB216AE"/>
    <w:rsid w:val="2CDC2B8B"/>
    <w:rsid w:val="2CE6368C"/>
    <w:rsid w:val="2CED0939"/>
    <w:rsid w:val="2D74105A"/>
    <w:rsid w:val="2DDB7DBD"/>
    <w:rsid w:val="2E1D3A94"/>
    <w:rsid w:val="2EC76F67"/>
    <w:rsid w:val="2ED33B5E"/>
    <w:rsid w:val="2EE930F3"/>
    <w:rsid w:val="2F363FD6"/>
    <w:rsid w:val="2F745341"/>
    <w:rsid w:val="2FE204FD"/>
    <w:rsid w:val="2FED67F0"/>
    <w:rsid w:val="30EA695A"/>
    <w:rsid w:val="30FD2F75"/>
    <w:rsid w:val="31086BD1"/>
    <w:rsid w:val="315D0ECD"/>
    <w:rsid w:val="318178A1"/>
    <w:rsid w:val="321A1044"/>
    <w:rsid w:val="32425B98"/>
    <w:rsid w:val="32917FB8"/>
    <w:rsid w:val="32FA1C32"/>
    <w:rsid w:val="330427FC"/>
    <w:rsid w:val="341C5D39"/>
    <w:rsid w:val="342B17CD"/>
    <w:rsid w:val="343D58A1"/>
    <w:rsid w:val="3457130E"/>
    <w:rsid w:val="3458152F"/>
    <w:rsid w:val="346516FC"/>
    <w:rsid w:val="348F22D5"/>
    <w:rsid w:val="34A46413"/>
    <w:rsid w:val="34C53F49"/>
    <w:rsid w:val="34E40873"/>
    <w:rsid w:val="353F2D47"/>
    <w:rsid w:val="35CB53A7"/>
    <w:rsid w:val="35FC7E3E"/>
    <w:rsid w:val="361E6007"/>
    <w:rsid w:val="362829E1"/>
    <w:rsid w:val="365437D6"/>
    <w:rsid w:val="36545AE5"/>
    <w:rsid w:val="369B1405"/>
    <w:rsid w:val="36CE5337"/>
    <w:rsid w:val="37060F75"/>
    <w:rsid w:val="37137350"/>
    <w:rsid w:val="37756AB3"/>
    <w:rsid w:val="37764CBD"/>
    <w:rsid w:val="378C30BB"/>
    <w:rsid w:val="37E170D4"/>
    <w:rsid w:val="38174ADA"/>
    <w:rsid w:val="3841400E"/>
    <w:rsid w:val="384B7486"/>
    <w:rsid w:val="389F5BCA"/>
    <w:rsid w:val="394F0490"/>
    <w:rsid w:val="396957EB"/>
    <w:rsid w:val="39DA2245"/>
    <w:rsid w:val="39E9692C"/>
    <w:rsid w:val="3A0073A2"/>
    <w:rsid w:val="3A3C784F"/>
    <w:rsid w:val="3ABC7B9C"/>
    <w:rsid w:val="3AE710BD"/>
    <w:rsid w:val="3B2229CC"/>
    <w:rsid w:val="3B6A75F8"/>
    <w:rsid w:val="3BB571BF"/>
    <w:rsid w:val="3BC56053"/>
    <w:rsid w:val="3BD80A06"/>
    <w:rsid w:val="3BF55114"/>
    <w:rsid w:val="3C30228F"/>
    <w:rsid w:val="3C6957BF"/>
    <w:rsid w:val="3CA50EEA"/>
    <w:rsid w:val="3CF47533"/>
    <w:rsid w:val="3D605157"/>
    <w:rsid w:val="3D6E6BA4"/>
    <w:rsid w:val="3D6F7148"/>
    <w:rsid w:val="3DAD3FBE"/>
    <w:rsid w:val="3DD142BB"/>
    <w:rsid w:val="3E6D7B0C"/>
    <w:rsid w:val="3E950E30"/>
    <w:rsid w:val="3F0B4C4E"/>
    <w:rsid w:val="3F0E7575"/>
    <w:rsid w:val="3F2C7B93"/>
    <w:rsid w:val="3F5E2DF9"/>
    <w:rsid w:val="3F815008"/>
    <w:rsid w:val="3F9D1D4A"/>
    <w:rsid w:val="40147B22"/>
    <w:rsid w:val="408353E4"/>
    <w:rsid w:val="409B1A96"/>
    <w:rsid w:val="415B1B90"/>
    <w:rsid w:val="4168282C"/>
    <w:rsid w:val="41742367"/>
    <w:rsid w:val="41CE6B33"/>
    <w:rsid w:val="41D1217F"/>
    <w:rsid w:val="421D2F00"/>
    <w:rsid w:val="42254279"/>
    <w:rsid w:val="425B0980"/>
    <w:rsid w:val="4283791D"/>
    <w:rsid w:val="42BE5066"/>
    <w:rsid w:val="42F36125"/>
    <w:rsid w:val="43115D2A"/>
    <w:rsid w:val="43394480"/>
    <w:rsid w:val="433D7A78"/>
    <w:rsid w:val="4349216B"/>
    <w:rsid w:val="435757B2"/>
    <w:rsid w:val="438C790B"/>
    <w:rsid w:val="43B64C47"/>
    <w:rsid w:val="43CE2297"/>
    <w:rsid w:val="445D419E"/>
    <w:rsid w:val="446217B4"/>
    <w:rsid w:val="44BF09B5"/>
    <w:rsid w:val="44D97CC8"/>
    <w:rsid w:val="4504461A"/>
    <w:rsid w:val="45D16BF2"/>
    <w:rsid w:val="460D4257"/>
    <w:rsid w:val="463336E0"/>
    <w:rsid w:val="46A240EA"/>
    <w:rsid w:val="46C16C66"/>
    <w:rsid w:val="46D04693"/>
    <w:rsid w:val="478D6A3C"/>
    <w:rsid w:val="47E744AA"/>
    <w:rsid w:val="48086415"/>
    <w:rsid w:val="482336B0"/>
    <w:rsid w:val="482B4558"/>
    <w:rsid w:val="487526CC"/>
    <w:rsid w:val="48B545A9"/>
    <w:rsid w:val="48B84099"/>
    <w:rsid w:val="48F13107"/>
    <w:rsid w:val="49521DF7"/>
    <w:rsid w:val="495F27A1"/>
    <w:rsid w:val="49C34D17"/>
    <w:rsid w:val="49D81443"/>
    <w:rsid w:val="4A805944"/>
    <w:rsid w:val="4A8915B8"/>
    <w:rsid w:val="4A944A26"/>
    <w:rsid w:val="4A995804"/>
    <w:rsid w:val="4AB64F82"/>
    <w:rsid w:val="4AEC627C"/>
    <w:rsid w:val="4AF018C8"/>
    <w:rsid w:val="4B101774"/>
    <w:rsid w:val="4B5C5D43"/>
    <w:rsid w:val="4B975426"/>
    <w:rsid w:val="4BDA4326"/>
    <w:rsid w:val="4C312198"/>
    <w:rsid w:val="4C343A36"/>
    <w:rsid w:val="4C397865"/>
    <w:rsid w:val="4C5C608F"/>
    <w:rsid w:val="4CCC3B4A"/>
    <w:rsid w:val="4CE40F83"/>
    <w:rsid w:val="4D3D4B6D"/>
    <w:rsid w:val="4D622825"/>
    <w:rsid w:val="4D81330C"/>
    <w:rsid w:val="4DAD6D49"/>
    <w:rsid w:val="4DDD4E6D"/>
    <w:rsid w:val="4E2A50F1"/>
    <w:rsid w:val="4E594465"/>
    <w:rsid w:val="4E5B79A0"/>
    <w:rsid w:val="4E93713A"/>
    <w:rsid w:val="4EDD6607"/>
    <w:rsid w:val="4F464194"/>
    <w:rsid w:val="4F510757"/>
    <w:rsid w:val="4F946E6D"/>
    <w:rsid w:val="4FDB37F4"/>
    <w:rsid w:val="50141B8D"/>
    <w:rsid w:val="502649D0"/>
    <w:rsid w:val="502D4D98"/>
    <w:rsid w:val="50940112"/>
    <w:rsid w:val="50B603AB"/>
    <w:rsid w:val="50BC5616"/>
    <w:rsid w:val="50FA67BE"/>
    <w:rsid w:val="511144D8"/>
    <w:rsid w:val="51FF6894"/>
    <w:rsid w:val="5215447D"/>
    <w:rsid w:val="522474FD"/>
    <w:rsid w:val="52956034"/>
    <w:rsid w:val="537E0443"/>
    <w:rsid w:val="53AE0572"/>
    <w:rsid w:val="53C33A31"/>
    <w:rsid w:val="53E72A96"/>
    <w:rsid w:val="545D5AF4"/>
    <w:rsid w:val="54A232F5"/>
    <w:rsid w:val="55844554"/>
    <w:rsid w:val="564C7BCE"/>
    <w:rsid w:val="56633896"/>
    <w:rsid w:val="56A833F9"/>
    <w:rsid w:val="56E542AB"/>
    <w:rsid w:val="575104C8"/>
    <w:rsid w:val="57B554F4"/>
    <w:rsid w:val="57E04A72"/>
    <w:rsid w:val="57FF75EE"/>
    <w:rsid w:val="58354DBE"/>
    <w:rsid w:val="5870229A"/>
    <w:rsid w:val="58715890"/>
    <w:rsid w:val="5987789B"/>
    <w:rsid w:val="59A33A0D"/>
    <w:rsid w:val="59AA4DF7"/>
    <w:rsid w:val="5A0507C0"/>
    <w:rsid w:val="5A43263C"/>
    <w:rsid w:val="5AB77983"/>
    <w:rsid w:val="5ABB5323"/>
    <w:rsid w:val="5B2335F4"/>
    <w:rsid w:val="5B694D7F"/>
    <w:rsid w:val="5B745BFD"/>
    <w:rsid w:val="5B9A4115"/>
    <w:rsid w:val="5B9F1982"/>
    <w:rsid w:val="5BBD57F6"/>
    <w:rsid w:val="5C003935"/>
    <w:rsid w:val="5C1473E0"/>
    <w:rsid w:val="5C3435DF"/>
    <w:rsid w:val="5CB12E81"/>
    <w:rsid w:val="5D0B4EFB"/>
    <w:rsid w:val="5D1C0BD9"/>
    <w:rsid w:val="5D373C4B"/>
    <w:rsid w:val="5D447903"/>
    <w:rsid w:val="5D75771C"/>
    <w:rsid w:val="5D9702C9"/>
    <w:rsid w:val="5DAB1E3A"/>
    <w:rsid w:val="5DD24E5D"/>
    <w:rsid w:val="5E070FAB"/>
    <w:rsid w:val="5E135B5A"/>
    <w:rsid w:val="5E4F4700"/>
    <w:rsid w:val="5E68756F"/>
    <w:rsid w:val="5EA8533D"/>
    <w:rsid w:val="5F805BD9"/>
    <w:rsid w:val="5F8454CE"/>
    <w:rsid w:val="5FC07EA8"/>
    <w:rsid w:val="5FE115EF"/>
    <w:rsid w:val="602216B9"/>
    <w:rsid w:val="60367B2B"/>
    <w:rsid w:val="603F34D8"/>
    <w:rsid w:val="604F14EC"/>
    <w:rsid w:val="60A70B88"/>
    <w:rsid w:val="61090336"/>
    <w:rsid w:val="61181721"/>
    <w:rsid w:val="61500960"/>
    <w:rsid w:val="618621F4"/>
    <w:rsid w:val="61B722C3"/>
    <w:rsid w:val="61D01DD2"/>
    <w:rsid w:val="62046A6B"/>
    <w:rsid w:val="62257D7B"/>
    <w:rsid w:val="627604AD"/>
    <w:rsid w:val="627B4EDA"/>
    <w:rsid w:val="62886CB8"/>
    <w:rsid w:val="629923ED"/>
    <w:rsid w:val="62B64D4D"/>
    <w:rsid w:val="62BC60DF"/>
    <w:rsid w:val="62C2643F"/>
    <w:rsid w:val="631A4D27"/>
    <w:rsid w:val="631D6B7A"/>
    <w:rsid w:val="634E142A"/>
    <w:rsid w:val="636C2D76"/>
    <w:rsid w:val="63DA020D"/>
    <w:rsid w:val="63E105CA"/>
    <w:rsid w:val="64077B7B"/>
    <w:rsid w:val="64371EBE"/>
    <w:rsid w:val="643C430D"/>
    <w:rsid w:val="6454612A"/>
    <w:rsid w:val="645A64FF"/>
    <w:rsid w:val="645F2960"/>
    <w:rsid w:val="64C74A05"/>
    <w:rsid w:val="64CD09EF"/>
    <w:rsid w:val="64DC699A"/>
    <w:rsid w:val="64F67EE8"/>
    <w:rsid w:val="653C15BA"/>
    <w:rsid w:val="653E2944"/>
    <w:rsid w:val="65402D12"/>
    <w:rsid w:val="658147AB"/>
    <w:rsid w:val="65AA7E46"/>
    <w:rsid w:val="65D57BE0"/>
    <w:rsid w:val="65EE70DA"/>
    <w:rsid w:val="661A232A"/>
    <w:rsid w:val="6632293D"/>
    <w:rsid w:val="6686173D"/>
    <w:rsid w:val="669E7FD2"/>
    <w:rsid w:val="66D11982"/>
    <w:rsid w:val="66EA3218"/>
    <w:rsid w:val="67386806"/>
    <w:rsid w:val="675D094C"/>
    <w:rsid w:val="6776587D"/>
    <w:rsid w:val="678F223E"/>
    <w:rsid w:val="67B61CC7"/>
    <w:rsid w:val="68142FE1"/>
    <w:rsid w:val="68792AA5"/>
    <w:rsid w:val="68B91D73"/>
    <w:rsid w:val="690B4321"/>
    <w:rsid w:val="692D388F"/>
    <w:rsid w:val="69961435"/>
    <w:rsid w:val="699A7177"/>
    <w:rsid w:val="69AD6A82"/>
    <w:rsid w:val="6A162A44"/>
    <w:rsid w:val="6A243D68"/>
    <w:rsid w:val="6A455DFD"/>
    <w:rsid w:val="6A48378D"/>
    <w:rsid w:val="6A8219B9"/>
    <w:rsid w:val="6AFF300A"/>
    <w:rsid w:val="6B091F05"/>
    <w:rsid w:val="6B1A1459"/>
    <w:rsid w:val="6B39435F"/>
    <w:rsid w:val="6B87372B"/>
    <w:rsid w:val="6BB81B36"/>
    <w:rsid w:val="6BD7028F"/>
    <w:rsid w:val="6BF80717"/>
    <w:rsid w:val="6BF85B87"/>
    <w:rsid w:val="6C1D55C6"/>
    <w:rsid w:val="6C6E4D5C"/>
    <w:rsid w:val="6C8D2FC3"/>
    <w:rsid w:val="6C9652DB"/>
    <w:rsid w:val="6CCC5F78"/>
    <w:rsid w:val="6CF71342"/>
    <w:rsid w:val="6D26555E"/>
    <w:rsid w:val="6D697D36"/>
    <w:rsid w:val="6E1100A6"/>
    <w:rsid w:val="6E1D0376"/>
    <w:rsid w:val="6E781A51"/>
    <w:rsid w:val="6E8D052E"/>
    <w:rsid w:val="6E982293"/>
    <w:rsid w:val="6EA445F4"/>
    <w:rsid w:val="6EC54776"/>
    <w:rsid w:val="6EC66318"/>
    <w:rsid w:val="6EC97FDE"/>
    <w:rsid w:val="6EE1655E"/>
    <w:rsid w:val="6EF2535F"/>
    <w:rsid w:val="6F063E1D"/>
    <w:rsid w:val="6F2B4924"/>
    <w:rsid w:val="6F6A1399"/>
    <w:rsid w:val="707301DF"/>
    <w:rsid w:val="70AA1185"/>
    <w:rsid w:val="70B054D2"/>
    <w:rsid w:val="70D50A94"/>
    <w:rsid w:val="70F040A8"/>
    <w:rsid w:val="711A294B"/>
    <w:rsid w:val="722001CA"/>
    <w:rsid w:val="724C2FD8"/>
    <w:rsid w:val="7251239D"/>
    <w:rsid w:val="729C4BB7"/>
    <w:rsid w:val="73921146"/>
    <w:rsid w:val="73DB4E1F"/>
    <w:rsid w:val="740B13C3"/>
    <w:rsid w:val="743B50B2"/>
    <w:rsid w:val="7443371B"/>
    <w:rsid w:val="745C422F"/>
    <w:rsid w:val="74A751D7"/>
    <w:rsid w:val="74A83D3F"/>
    <w:rsid w:val="74AE1D28"/>
    <w:rsid w:val="74B9039C"/>
    <w:rsid w:val="75497CA3"/>
    <w:rsid w:val="75705230"/>
    <w:rsid w:val="757575F0"/>
    <w:rsid w:val="757C43AA"/>
    <w:rsid w:val="75B66837"/>
    <w:rsid w:val="761A7171"/>
    <w:rsid w:val="762F4835"/>
    <w:rsid w:val="763D3A86"/>
    <w:rsid w:val="76780840"/>
    <w:rsid w:val="767F254D"/>
    <w:rsid w:val="76954F28"/>
    <w:rsid w:val="76E210CD"/>
    <w:rsid w:val="770519A8"/>
    <w:rsid w:val="770E2F52"/>
    <w:rsid w:val="771C1E27"/>
    <w:rsid w:val="77333B9D"/>
    <w:rsid w:val="777059BB"/>
    <w:rsid w:val="77737AF1"/>
    <w:rsid w:val="77923326"/>
    <w:rsid w:val="77F35E7A"/>
    <w:rsid w:val="781A3F3B"/>
    <w:rsid w:val="7863107C"/>
    <w:rsid w:val="78B418D7"/>
    <w:rsid w:val="78C132E5"/>
    <w:rsid w:val="792E7917"/>
    <w:rsid w:val="793F363C"/>
    <w:rsid w:val="797252E7"/>
    <w:rsid w:val="79731FBB"/>
    <w:rsid w:val="79A90D10"/>
    <w:rsid w:val="79B86B21"/>
    <w:rsid w:val="79C46A79"/>
    <w:rsid w:val="79EC1FD7"/>
    <w:rsid w:val="7A2B12FD"/>
    <w:rsid w:val="7A644B7F"/>
    <w:rsid w:val="7AF0727B"/>
    <w:rsid w:val="7AFD1314"/>
    <w:rsid w:val="7B900A0A"/>
    <w:rsid w:val="7BC41E31"/>
    <w:rsid w:val="7C0526B8"/>
    <w:rsid w:val="7C617072"/>
    <w:rsid w:val="7CE5463C"/>
    <w:rsid w:val="7CFE5817"/>
    <w:rsid w:val="7D0C5A4B"/>
    <w:rsid w:val="7D2124A7"/>
    <w:rsid w:val="7D627B54"/>
    <w:rsid w:val="7D6A4C5A"/>
    <w:rsid w:val="7D6F41A2"/>
    <w:rsid w:val="7D7653AD"/>
    <w:rsid w:val="7DC52EA5"/>
    <w:rsid w:val="7DF02012"/>
    <w:rsid w:val="7E510534"/>
    <w:rsid w:val="7EDA196C"/>
    <w:rsid w:val="7F16256D"/>
    <w:rsid w:val="7FD2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uiPriority="99" w:name="heading 2"/>
    <w:lsdException w:qFormat="1" w:unhideWhenUsed="0" w:uiPriority="0" w:semiHidden="0" w:name="heading 3"/>
    <w:lsdException w:qFormat="1" w:unhideWhenUsed="0" w:uiPriority="0" w:semiHidden="0" w:name="heading 4"/>
    <w:lsdException w:qFormat="1" w:unhideWhenUsed="0" w:uiPriority="0" w:semiHidden="0"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99" w:name="toc 1"/>
    <w:lsdException w:uiPriority="99" w:name="toc 2"/>
    <w:lsdException w:qFormat="1" w:unhideWhenUsed="0" w:uiPriority="0" w:semiHidden="0" w:name="toc 3"/>
    <w:lsdException w:qFormat="1" w:unhideWhenUsed="0" w:uiPriority="0" w:semiHidden="0" w:name="toc 4"/>
    <w:lsdException w:qFormat="1" w:unhideWhenUsed="0" w:uiPriority="0" w:semiHidden="0"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autoRedefine/>
    <w:qFormat/>
    <w:uiPriority w:val="99"/>
    <w:pPr>
      <w:keepNext/>
      <w:keepLines/>
      <w:spacing w:line="360" w:lineRule="auto"/>
      <w:outlineLvl w:val="0"/>
    </w:pPr>
    <w:rPr>
      <w:rFonts w:eastAsia="黑体"/>
      <w:b/>
      <w:bCs/>
      <w:kern w:val="44"/>
      <w:sz w:val="44"/>
      <w:szCs w:val="44"/>
      <w:lang w:val="zh-CN"/>
    </w:rPr>
  </w:style>
  <w:style w:type="paragraph" w:styleId="3">
    <w:name w:val="heading 3"/>
    <w:basedOn w:val="1"/>
    <w:autoRedefine/>
    <w:qFormat/>
    <w:uiPriority w:val="0"/>
    <w:pPr>
      <w:spacing w:line="413" w:lineRule="auto"/>
      <w:ind w:firstLine="480" w:firstLineChars="200"/>
      <w:jc w:val="left"/>
      <w:outlineLvl w:val="2"/>
    </w:pPr>
    <w:rPr>
      <w:bCs/>
      <w:sz w:val="24"/>
      <w:szCs w:val="24"/>
    </w:rPr>
  </w:style>
  <w:style w:type="paragraph" w:styleId="4">
    <w:name w:val="heading 4"/>
    <w:basedOn w:val="1"/>
    <w:next w:val="1"/>
    <w:autoRedefine/>
    <w:qFormat/>
    <w:uiPriority w:val="0"/>
    <w:pPr>
      <w:keepNext/>
      <w:keepLines/>
      <w:spacing w:line="372" w:lineRule="auto"/>
      <w:outlineLvl w:val="3"/>
    </w:pPr>
    <w:rPr>
      <w:rFonts w:ascii="Cambria" w:hAnsi="Cambria"/>
      <w:b/>
      <w:bCs/>
      <w:sz w:val="28"/>
      <w:szCs w:val="28"/>
    </w:rPr>
  </w:style>
  <w:style w:type="paragraph" w:styleId="5">
    <w:name w:val="heading 5"/>
    <w:basedOn w:val="1"/>
    <w:autoRedefine/>
    <w:qFormat/>
    <w:uiPriority w:val="0"/>
    <w:pPr>
      <w:keepNext/>
      <w:keepLines/>
      <w:spacing w:line="372" w:lineRule="auto"/>
      <w:outlineLvl w:val="4"/>
    </w:pPr>
    <w:rPr>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99"/>
    <w:pPr>
      <w:ind w:left="1400" w:leftChars="1400"/>
    </w:pPr>
  </w:style>
  <w:style w:type="paragraph" w:styleId="7">
    <w:name w:val="Normal Indent"/>
    <w:basedOn w:val="1"/>
    <w:next w:val="1"/>
    <w:qFormat/>
    <w:uiPriority w:val="0"/>
    <w:pPr>
      <w:ind w:firstLine="420"/>
    </w:pPr>
    <w:rPr>
      <w:szCs w:val="20"/>
    </w:rPr>
  </w:style>
  <w:style w:type="paragraph" w:styleId="8">
    <w:name w:val="annotation text"/>
    <w:basedOn w:val="1"/>
    <w:link w:val="31"/>
    <w:autoRedefine/>
    <w:qFormat/>
    <w:uiPriority w:val="0"/>
    <w:pPr>
      <w:jc w:val="left"/>
    </w:pPr>
  </w:style>
  <w:style w:type="paragraph" w:styleId="9">
    <w:name w:val="Body Text"/>
    <w:basedOn w:val="1"/>
    <w:next w:val="10"/>
    <w:autoRedefine/>
    <w:qFormat/>
    <w:uiPriority w:val="0"/>
    <w:pPr>
      <w:adjustRightInd w:val="0"/>
      <w:spacing w:line="360" w:lineRule="atLeast"/>
      <w:ind w:left="72" w:leftChars="30" w:right="30" w:rightChars="30"/>
      <w:jc w:val="center"/>
    </w:pPr>
    <w:rPr>
      <w:rFonts w:ascii="Times New Roman" w:hAnsi="Times New Roman"/>
      <w:kern w:val="0"/>
      <w:sz w:val="20"/>
      <w:szCs w:val="20"/>
    </w:rPr>
  </w:style>
  <w:style w:type="paragraph" w:styleId="10">
    <w:name w:val="Body Text Indent"/>
    <w:basedOn w:val="1"/>
    <w:link w:val="36"/>
    <w:autoRedefine/>
    <w:qFormat/>
    <w:uiPriority w:val="0"/>
    <w:pPr>
      <w:ind w:firstLine="830" w:firstLineChars="352"/>
    </w:pPr>
    <w:rPr>
      <w:rFonts w:ascii="仿宋_GB2312" w:eastAsia="仿宋_GB2312"/>
      <w:kern w:val="0"/>
      <w:sz w:val="32"/>
      <w:szCs w:val="20"/>
    </w:rPr>
  </w:style>
  <w:style w:type="paragraph" w:styleId="11">
    <w:name w:val="toc 5"/>
    <w:basedOn w:val="1"/>
    <w:autoRedefine/>
    <w:qFormat/>
    <w:uiPriority w:val="0"/>
    <w:pPr>
      <w:tabs>
        <w:tab w:val="right" w:leader="dot" w:pos="8296"/>
      </w:tabs>
      <w:ind w:left="1050" w:leftChars="500"/>
    </w:pPr>
  </w:style>
  <w:style w:type="paragraph" w:styleId="12">
    <w:name w:val="toc 3"/>
    <w:basedOn w:val="1"/>
    <w:autoRedefine/>
    <w:qFormat/>
    <w:uiPriority w:val="0"/>
    <w:pPr>
      <w:ind w:left="840" w:leftChars="400"/>
    </w:pPr>
  </w:style>
  <w:style w:type="paragraph" w:styleId="13">
    <w:name w:val="Plain Text"/>
    <w:basedOn w:val="1"/>
    <w:link w:val="39"/>
    <w:autoRedefine/>
    <w:qFormat/>
    <w:uiPriority w:val="99"/>
    <w:rPr>
      <w:rFonts w:ascii="宋体" w:hAnsi="Courier New" w:cs="Courier New"/>
      <w:szCs w:val="21"/>
    </w:rPr>
  </w:style>
  <w:style w:type="paragraph" w:styleId="14">
    <w:name w:val="Balloon Text"/>
    <w:basedOn w:val="1"/>
    <w:link w:val="33"/>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4"/>
    <w:basedOn w:val="1"/>
    <w:autoRedefine/>
    <w:qFormat/>
    <w:uiPriority w:val="0"/>
    <w:pPr>
      <w:tabs>
        <w:tab w:val="left" w:pos="1890"/>
        <w:tab w:val="right" w:leader="dot" w:pos="8296"/>
      </w:tabs>
      <w:ind w:left="630" w:leftChars="300"/>
    </w:p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8"/>
    <w:link w:val="32"/>
    <w:autoRedefine/>
    <w:qFormat/>
    <w:uiPriority w:val="0"/>
    <w:rPr>
      <w:b/>
      <w:bCs/>
    </w:rPr>
  </w:style>
  <w:style w:type="paragraph" w:styleId="20">
    <w:name w:val="Body Text First Indent 2"/>
    <w:basedOn w:val="10"/>
    <w:link w:val="37"/>
    <w:autoRedefine/>
    <w:qFormat/>
    <w:uiPriority w:val="0"/>
    <w:pPr>
      <w:spacing w:after="120"/>
      <w:ind w:left="420" w:leftChars="200" w:firstLine="210" w:firstLineChars="200"/>
    </w:pPr>
    <w:rPr>
      <w:rFonts w:ascii="宋体" w:hAnsi="宋体"/>
      <w:kern w:val="2"/>
      <w:sz w:val="28"/>
    </w:rPr>
  </w:style>
  <w:style w:type="character" w:styleId="23">
    <w:name w:val="Strong"/>
    <w:basedOn w:val="22"/>
    <w:qFormat/>
    <w:uiPriority w:val="99"/>
    <w:rPr>
      <w:b/>
    </w:rPr>
  </w:style>
  <w:style w:type="character" w:styleId="24">
    <w:name w:val="Hyperlink"/>
    <w:qFormat/>
    <w:uiPriority w:val="0"/>
    <w:rPr>
      <w:rFonts w:cs="Times New Roman"/>
      <w:color w:val="0000FF"/>
      <w:u w:val="single"/>
    </w:rPr>
  </w:style>
  <w:style w:type="character" w:styleId="25">
    <w:name w:val="annotation reference"/>
    <w:basedOn w:val="22"/>
    <w:qFormat/>
    <w:uiPriority w:val="0"/>
    <w:rPr>
      <w:sz w:val="21"/>
      <w:szCs w:val="21"/>
    </w:rPr>
  </w:style>
  <w:style w:type="paragraph" w:customStyle="1" w:styleId="26">
    <w:name w:val="正文1"/>
    <w:qFormat/>
    <w:uiPriority w:val="0"/>
    <w:rPr>
      <w:rFonts w:ascii="Times New Roman" w:hAnsi="Times New Roman" w:eastAsia="Times New Roman" w:cs="Times New Roman"/>
      <w:sz w:val="24"/>
      <w:szCs w:val="24"/>
      <w:lang w:val="en-US" w:eastAsia="zh-CN" w:bidi="ar-SA"/>
    </w:rPr>
  </w:style>
  <w:style w:type="paragraph" w:customStyle="1" w:styleId="27">
    <w:name w:val="Div_MsoNormal ParagraphIndent"/>
    <w:basedOn w:val="26"/>
    <w:qFormat/>
    <w:uiPriority w:val="0"/>
    <w:rPr>
      <w:rFonts w:ascii="宋体" w:hAnsi="宋体" w:eastAsia="宋体" w:cs="宋体"/>
      <w:sz w:val="21"/>
    </w:rPr>
  </w:style>
  <w:style w:type="paragraph" w:customStyle="1" w:styleId="28">
    <w:name w:val="Div_MsoNormal  ParagraphIndent"/>
    <w:basedOn w:val="26"/>
    <w:qFormat/>
    <w:uiPriority w:val="0"/>
    <w:rPr>
      <w:rFonts w:ascii="宋体" w:hAnsi="宋体" w:eastAsia="宋体" w:cs="宋体"/>
      <w:sz w:val="21"/>
    </w:rPr>
  </w:style>
  <w:style w:type="paragraph" w:customStyle="1" w:styleId="29">
    <w:name w:val="_Style 6"/>
    <w:basedOn w:val="2"/>
    <w:autoRedefine/>
    <w:qFormat/>
    <w:uiPriority w:val="0"/>
    <w:pPr>
      <w:outlineLvl w:val="9"/>
    </w:pPr>
  </w:style>
  <w:style w:type="paragraph" w:customStyle="1" w:styleId="30">
    <w:name w:val="次段落1"/>
    <w:basedOn w:val="1"/>
    <w:qFormat/>
    <w:uiPriority w:val="0"/>
    <w:pPr>
      <w:tabs>
        <w:tab w:val="left" w:pos="360"/>
        <w:tab w:val="left" w:pos="840"/>
      </w:tabs>
      <w:spacing w:beforeLines="50" w:line="360" w:lineRule="auto"/>
    </w:pPr>
    <w:rPr>
      <w:rFonts w:ascii="Times New Roman" w:hAnsi="Times New Roman"/>
      <w:sz w:val="24"/>
      <w:szCs w:val="24"/>
    </w:rPr>
  </w:style>
  <w:style w:type="character" w:customStyle="1" w:styleId="31">
    <w:name w:val="批注文字 Char"/>
    <w:basedOn w:val="22"/>
    <w:link w:val="8"/>
    <w:qFormat/>
    <w:uiPriority w:val="0"/>
    <w:rPr>
      <w:rFonts w:ascii="Calibri" w:hAnsi="Calibri"/>
      <w:kern w:val="2"/>
      <w:sz w:val="21"/>
      <w:szCs w:val="22"/>
    </w:rPr>
  </w:style>
  <w:style w:type="character" w:customStyle="1" w:styleId="32">
    <w:name w:val="批注主题 Char"/>
    <w:basedOn w:val="31"/>
    <w:link w:val="19"/>
    <w:qFormat/>
    <w:uiPriority w:val="0"/>
    <w:rPr>
      <w:rFonts w:ascii="Calibri" w:hAnsi="Calibri"/>
      <w:kern w:val="2"/>
      <w:sz w:val="21"/>
      <w:szCs w:val="22"/>
    </w:rPr>
  </w:style>
  <w:style w:type="character" w:customStyle="1" w:styleId="33">
    <w:name w:val="批注框文本 Char"/>
    <w:basedOn w:val="22"/>
    <w:link w:val="14"/>
    <w:qFormat/>
    <w:uiPriority w:val="0"/>
    <w:rPr>
      <w:rFonts w:ascii="Calibri" w:hAnsi="Calibri"/>
      <w:kern w:val="2"/>
      <w:sz w:val="18"/>
      <w:szCs w:val="18"/>
    </w:rPr>
  </w:style>
  <w:style w:type="paragraph" w:styleId="34">
    <w:name w:val="List Paragraph"/>
    <w:basedOn w:val="1"/>
    <w:unhideWhenUsed/>
    <w:qFormat/>
    <w:uiPriority w:val="99"/>
    <w:pPr>
      <w:ind w:firstLine="420" w:firstLineChars="200"/>
    </w:pPr>
  </w:style>
  <w:style w:type="paragraph" w:customStyle="1" w:styleId="35">
    <w:name w:val="表格文字"/>
    <w:basedOn w:val="1"/>
    <w:qFormat/>
    <w:uiPriority w:val="99"/>
    <w:pPr>
      <w:spacing w:before="25" w:after="25"/>
      <w:jc w:val="left"/>
    </w:pPr>
    <w:rPr>
      <w:bCs/>
      <w:spacing w:val="10"/>
      <w:kern w:val="0"/>
      <w:sz w:val="24"/>
    </w:rPr>
  </w:style>
  <w:style w:type="character" w:customStyle="1" w:styleId="36">
    <w:name w:val="正文文本缩进 Char"/>
    <w:basedOn w:val="22"/>
    <w:link w:val="10"/>
    <w:qFormat/>
    <w:uiPriority w:val="0"/>
    <w:rPr>
      <w:rFonts w:hint="default" w:ascii="Calibri" w:hAnsi="Calibri" w:cs="Calibri"/>
      <w:kern w:val="2"/>
      <w:sz w:val="21"/>
      <w:szCs w:val="22"/>
    </w:rPr>
  </w:style>
  <w:style w:type="character" w:customStyle="1" w:styleId="37">
    <w:name w:val="正文首行缩进 2 Char"/>
    <w:basedOn w:val="36"/>
    <w:link w:val="20"/>
    <w:qFormat/>
    <w:uiPriority w:val="0"/>
    <w:rPr>
      <w:rFonts w:hint="default" w:ascii="Calibri" w:hAnsi="Calibri" w:cs="Calibri"/>
      <w:kern w:val="2"/>
      <w:sz w:val="21"/>
      <w:szCs w:val="22"/>
    </w:rPr>
  </w:style>
  <w:style w:type="paragraph" w:customStyle="1" w:styleId="38">
    <w:name w:val="_Style 1"/>
    <w:basedOn w:val="1"/>
    <w:qFormat/>
    <w:uiPriority w:val="99"/>
    <w:pPr>
      <w:ind w:firstLine="420" w:firstLineChars="200"/>
    </w:pPr>
    <w:rPr>
      <w:rFonts w:ascii="Times New Roman" w:hAnsi="Times New Roman"/>
      <w:szCs w:val="20"/>
    </w:rPr>
  </w:style>
  <w:style w:type="character" w:customStyle="1" w:styleId="39">
    <w:name w:val="纯文本 Char"/>
    <w:link w:val="13"/>
    <w:qFormat/>
    <w:uiPriority w:val="99"/>
    <w:rPr>
      <w:rFonts w:ascii="宋体" w:hAnsi="Courier New" w:cs="Courier New"/>
      <w:kern w:val="2"/>
      <w:sz w:val="21"/>
      <w:szCs w:val="21"/>
    </w:rPr>
  </w:style>
  <w:style w:type="character" w:customStyle="1" w:styleId="40">
    <w:name w:val="font71"/>
    <w:basedOn w:val="22"/>
    <w:qFormat/>
    <w:uiPriority w:val="0"/>
    <w:rPr>
      <w:rFonts w:hint="eastAsia" w:ascii="宋体" w:hAnsi="宋体" w:eastAsia="宋体" w:cs="宋体"/>
      <w:color w:val="000000"/>
      <w:sz w:val="24"/>
      <w:szCs w:val="24"/>
      <w:u w:val="none"/>
    </w:rPr>
  </w:style>
  <w:style w:type="paragraph" w:customStyle="1" w:styleId="41">
    <w:name w:val="段"/>
    <w:next w:val="1"/>
    <w:qFormat/>
    <w:uiPriority w:val="99"/>
    <w:pPr>
      <w:autoSpaceDE w:val="0"/>
      <w:autoSpaceDN w:val="0"/>
      <w:adjustRightInd w:val="0"/>
      <w:snapToGrid w:val="0"/>
      <w:spacing w:line="360" w:lineRule="auto"/>
      <w:ind w:firstLine="200" w:firstLineChars="200"/>
      <w:jc w:val="both"/>
    </w:pPr>
    <w:rPr>
      <w:rFonts w:ascii="宋体" w:hAnsiTheme="minorHAnsi" w:eastAsiaTheme="minorEastAsia" w:cstheme="minorBidi"/>
      <w:sz w:val="24"/>
      <w:szCs w:val="22"/>
      <w:lang w:val="en-US" w:eastAsia="zh-CN" w:bidi="ar-SA"/>
    </w:rPr>
  </w:style>
  <w:style w:type="character" w:customStyle="1" w:styleId="42">
    <w:name w:val="font1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9" textRotate="1"/>
    <customShpInfo spid="_x0000_s4100"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2307</Words>
  <Characters>2476</Characters>
  <Lines>29</Lines>
  <Paragraphs>8</Paragraphs>
  <TotalTime>1</TotalTime>
  <ScaleCrop>false</ScaleCrop>
  <LinksUpToDate>false</LinksUpToDate>
  <CharactersWithSpaces>2631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2024-10-24T08:52:00Z</dcterms:created>
  <dc:creator>麦智德</dc:creator>
  <cp:lastModifiedBy>可爱滴46</cp:lastModifiedBy>
  <dcterms:modified xsi:type="dcterms:W3CDTF">2025-09-24T02:29:31Z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5D8CE5C05E3148A0B068E9933CE5D18E</vt:lpwstr>
  </property>
  <property fmtid="{D5CDD505-2E9C-101B-9397-08002B2CF9AE}" pid="4" name="KSOTemplateDocerSaveRecord">
    <vt:lpwstr>eyJoZGlkIjoiNjg0YjRlNWU1MTNmNTNlNDQ0NGVhYTdmNzNlMjllYTEiLCJ1c2VySWQiOiI2MzkwMTA2NDYifQ==</vt:lpwstr>
  </property>
</Properties>
</file>