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ED326">
      <w:pPr>
        <w:pStyle w:val="27"/>
        <w:spacing w:line="360" w:lineRule="auto"/>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广西医科大学第一附属医院</w:t>
      </w:r>
    </w:p>
    <w:p w14:paraId="2320EED5">
      <w:pPr>
        <w:pStyle w:val="27"/>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bCs/>
          <w:sz w:val="30"/>
          <w:szCs w:val="30"/>
          <w:highlight w:val="none"/>
          <w:lang w:val="en-US" w:eastAsia="zh-CN"/>
        </w:rPr>
        <w:t>2025年10月-2027年10月法律顾问服务</w:t>
      </w:r>
      <w:r>
        <w:rPr>
          <w:rFonts w:hint="eastAsia" w:ascii="宋体" w:hAnsi="宋体" w:eastAsia="宋体" w:cs="宋体"/>
          <w:b/>
          <w:bCs/>
          <w:sz w:val="30"/>
          <w:szCs w:val="30"/>
          <w:highlight w:val="none"/>
        </w:rPr>
        <w:t>项目</w:t>
      </w:r>
      <w:r>
        <w:rPr>
          <w:rFonts w:hint="eastAsia" w:ascii="宋体" w:hAnsi="宋体" w:eastAsia="宋体" w:cs="宋体"/>
          <w:b/>
          <w:bCs/>
          <w:sz w:val="30"/>
          <w:szCs w:val="30"/>
          <w:highlight w:val="none"/>
          <w:lang w:val="zh-CN"/>
        </w:rPr>
        <w:t>采购需求</w:t>
      </w:r>
      <w:r>
        <w:rPr>
          <w:rFonts w:hint="eastAsia" w:ascii="宋体" w:hAnsi="宋体" w:eastAsia="宋体" w:cs="宋体"/>
          <w:sz w:val="21"/>
          <w:szCs w:val="21"/>
          <w:highlight w:val="none"/>
          <w:lang w:val="zh-CN"/>
        </w:rPr>
        <w:t xml:space="preserve"> </w:t>
      </w:r>
    </w:p>
    <w:p w14:paraId="71B40A7B">
      <w:pPr>
        <w:pStyle w:val="27"/>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供应商资格要求 ：</w:t>
      </w:r>
    </w:p>
    <w:p w14:paraId="5DF87A55">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1、满足《中华人民共和国政府采购法》第二十二条规定；</w:t>
      </w:r>
    </w:p>
    <w:p w14:paraId="6FA2F302">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2、本项目的特定资格要求：</w:t>
      </w:r>
    </w:p>
    <w:p w14:paraId="78B6E092">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2.1具有有效的律师事务所执业许可证；</w:t>
      </w:r>
    </w:p>
    <w:p w14:paraId="4F500CE0">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2.2拟投入本服务项目的负责人具有律师执业证；</w:t>
      </w:r>
    </w:p>
    <w:p w14:paraId="2E21954C">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2.3</w:t>
      </w:r>
      <w:r>
        <w:rPr>
          <w:rFonts w:hint="eastAsia" w:ascii="宋体" w:hAnsi="宋体" w:cs="宋体"/>
          <w:kern w:val="0"/>
          <w:sz w:val="22"/>
          <w:szCs w:val="22"/>
          <w:highlight w:val="none"/>
          <w:lang w:val="en-US" w:eastAsia="zh-CN" w:bidi="ar-SA"/>
        </w:rPr>
        <w:t>供应商</w:t>
      </w:r>
      <w:r>
        <w:rPr>
          <w:rFonts w:hint="eastAsia" w:ascii="宋体" w:hAnsi="宋体" w:cs="宋体"/>
          <w:kern w:val="0"/>
          <w:sz w:val="22"/>
          <w:szCs w:val="22"/>
          <w:highlight w:val="none"/>
          <w:lang w:val="zh-CN" w:eastAsia="zh-CN" w:bidi="ar-SA"/>
        </w:rPr>
        <w:t>（</w:t>
      </w:r>
      <w:r>
        <w:rPr>
          <w:rFonts w:hint="eastAsia" w:ascii="宋体" w:hAnsi="宋体" w:cs="宋体"/>
          <w:kern w:val="0"/>
          <w:sz w:val="22"/>
          <w:szCs w:val="22"/>
          <w:highlight w:val="none"/>
          <w:lang w:val="en-US" w:eastAsia="zh-CN" w:bidi="ar-SA"/>
        </w:rPr>
        <w:t>含项目团队成员</w:t>
      </w:r>
      <w:r>
        <w:rPr>
          <w:rFonts w:hint="eastAsia" w:ascii="宋体" w:hAnsi="宋体" w:cs="宋体"/>
          <w:kern w:val="0"/>
          <w:sz w:val="22"/>
          <w:szCs w:val="22"/>
          <w:highlight w:val="none"/>
          <w:lang w:val="zh-CN" w:eastAsia="zh-CN" w:bidi="ar-SA"/>
        </w:rPr>
        <w:t>）</w:t>
      </w:r>
      <w:r>
        <w:rPr>
          <w:rFonts w:hint="eastAsia" w:ascii="宋体" w:hAnsi="宋体" w:eastAsia="宋体" w:cs="宋体"/>
          <w:kern w:val="0"/>
          <w:sz w:val="22"/>
          <w:szCs w:val="22"/>
          <w:highlight w:val="none"/>
          <w:lang w:val="zh-CN" w:eastAsia="zh-CN" w:bidi="ar-SA"/>
        </w:rPr>
        <w:t>近三年内未受到司法行政主管部门的行政处罚或律师行业协会的处分。</w:t>
      </w:r>
    </w:p>
    <w:p w14:paraId="33E253D1">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7A4A68D2">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0756A14E">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5、本项目不接受联合体参与。</w:t>
      </w:r>
    </w:p>
    <w:tbl>
      <w:tblPr>
        <w:tblStyle w:val="21"/>
        <w:tblpPr w:leftFromText="180" w:rightFromText="180" w:vertAnchor="text" w:horzAnchor="page" w:tblpX="1585" w:tblpY="57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401"/>
        <w:gridCol w:w="723"/>
        <w:gridCol w:w="6132"/>
      </w:tblGrid>
      <w:tr w14:paraId="3C7B6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50C41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采购需求</w:t>
            </w:r>
          </w:p>
        </w:tc>
      </w:tr>
      <w:tr w14:paraId="4E5D1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EE0FD72">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一、项目需求及技术要求</w:t>
            </w:r>
          </w:p>
        </w:tc>
      </w:tr>
      <w:tr w14:paraId="795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32" w:type="pct"/>
            <w:tcBorders>
              <w:top w:val="single" w:color="auto" w:sz="4" w:space="0"/>
              <w:left w:val="single" w:color="auto" w:sz="4" w:space="0"/>
              <w:bottom w:val="single" w:color="auto" w:sz="4" w:space="0"/>
              <w:right w:val="single" w:color="auto" w:sz="4" w:space="0"/>
            </w:tcBorders>
            <w:vAlign w:val="center"/>
          </w:tcPr>
          <w:p w14:paraId="3CD66B7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775" w:type="pct"/>
            <w:tcBorders>
              <w:top w:val="single" w:color="auto" w:sz="4" w:space="0"/>
              <w:left w:val="single" w:color="auto" w:sz="4" w:space="0"/>
              <w:bottom w:val="single" w:color="auto" w:sz="4" w:space="0"/>
              <w:right w:val="single" w:color="auto" w:sz="4" w:space="0"/>
            </w:tcBorders>
            <w:vAlign w:val="center"/>
          </w:tcPr>
          <w:p w14:paraId="5D530B4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标的名称</w:t>
            </w:r>
          </w:p>
        </w:tc>
        <w:tc>
          <w:tcPr>
            <w:tcW w:w="400" w:type="pct"/>
            <w:tcBorders>
              <w:top w:val="single" w:color="auto" w:sz="4" w:space="0"/>
              <w:left w:val="single" w:color="auto" w:sz="4" w:space="0"/>
              <w:bottom w:val="single" w:color="auto" w:sz="4" w:space="0"/>
              <w:right w:val="single" w:color="auto" w:sz="4" w:space="0"/>
            </w:tcBorders>
            <w:vAlign w:val="center"/>
          </w:tcPr>
          <w:p w14:paraId="4A024EE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数量</w:t>
            </w:r>
          </w:p>
        </w:tc>
        <w:tc>
          <w:tcPr>
            <w:tcW w:w="3391" w:type="pct"/>
            <w:tcBorders>
              <w:top w:val="single" w:color="auto" w:sz="4" w:space="0"/>
              <w:left w:val="single" w:color="auto" w:sz="4" w:space="0"/>
              <w:bottom w:val="single" w:color="auto" w:sz="4" w:space="0"/>
              <w:right w:val="single" w:color="auto" w:sz="4" w:space="0"/>
            </w:tcBorders>
            <w:vAlign w:val="center"/>
          </w:tcPr>
          <w:p w14:paraId="44C90FB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参数</w:t>
            </w:r>
            <w:r>
              <w:rPr>
                <w:rFonts w:hint="eastAsia" w:ascii="宋体" w:hAnsi="宋体" w:eastAsia="宋体" w:cs="宋体"/>
                <w:b/>
                <w:color w:val="000000" w:themeColor="text1"/>
                <w:sz w:val="22"/>
                <w:szCs w:val="22"/>
                <w:highlight w:val="none"/>
                <w14:textFill>
                  <w14:solidFill>
                    <w14:schemeClr w14:val="tx1"/>
                  </w14:solidFill>
                </w14:textFill>
              </w:rPr>
              <w:t>及要求</w:t>
            </w:r>
          </w:p>
        </w:tc>
      </w:tr>
      <w:tr w14:paraId="52D56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32" w:type="pct"/>
            <w:tcBorders>
              <w:top w:val="single" w:color="auto" w:sz="4" w:space="0"/>
              <w:left w:val="single" w:color="auto" w:sz="4" w:space="0"/>
              <w:bottom w:val="single" w:color="auto" w:sz="4" w:space="0"/>
              <w:right w:val="single" w:color="auto" w:sz="4" w:space="0"/>
            </w:tcBorders>
            <w:vAlign w:val="center"/>
          </w:tcPr>
          <w:p w14:paraId="14F1BC6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1</w:t>
            </w:r>
          </w:p>
        </w:tc>
        <w:tc>
          <w:tcPr>
            <w:tcW w:w="775" w:type="pct"/>
            <w:tcBorders>
              <w:top w:val="single" w:color="auto" w:sz="4" w:space="0"/>
              <w:left w:val="single" w:color="auto" w:sz="4" w:space="0"/>
              <w:bottom w:val="single" w:color="auto" w:sz="4" w:space="0"/>
              <w:right w:val="single" w:color="auto" w:sz="4" w:space="0"/>
            </w:tcBorders>
            <w:vAlign w:val="center"/>
          </w:tcPr>
          <w:p w14:paraId="2781758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rPr>
              <w:t>2025年10月-2027年10月法律顾问服务</w:t>
            </w:r>
          </w:p>
        </w:tc>
        <w:tc>
          <w:tcPr>
            <w:tcW w:w="400" w:type="pct"/>
            <w:tcBorders>
              <w:top w:val="single" w:color="auto" w:sz="4" w:space="0"/>
              <w:left w:val="single" w:color="auto" w:sz="4" w:space="0"/>
              <w:bottom w:val="single" w:color="auto" w:sz="4" w:space="0"/>
              <w:right w:val="single" w:color="auto" w:sz="4" w:space="0"/>
            </w:tcBorders>
            <w:vAlign w:val="center"/>
          </w:tcPr>
          <w:p w14:paraId="61AE1929">
            <w:pPr>
              <w:keepNext w:val="0"/>
              <w:keepLines w:val="0"/>
              <w:pageBreakBefore w:val="0"/>
              <w:kinsoku/>
              <w:wordWrap/>
              <w:overflowPunct/>
              <w:topLinePunct w:val="0"/>
              <w:bidi w:val="0"/>
              <w:spacing w:line="360" w:lineRule="auto"/>
              <w:jc w:val="both"/>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2年</w:t>
            </w:r>
          </w:p>
        </w:tc>
        <w:tc>
          <w:tcPr>
            <w:tcW w:w="3391" w:type="pct"/>
            <w:tcBorders>
              <w:top w:val="single" w:color="auto" w:sz="4" w:space="0"/>
              <w:left w:val="single" w:color="auto" w:sz="4" w:space="0"/>
              <w:bottom w:val="single" w:color="auto" w:sz="4" w:space="0"/>
              <w:right w:val="single" w:color="auto" w:sz="4" w:space="0"/>
            </w:tcBorders>
            <w:vAlign w:val="center"/>
          </w:tcPr>
          <w:p w14:paraId="626CA13B">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项目概况：采购常规法律服务和代理涉诉案件法律服务项目，并实行包干制，法律服务包括：（1）常规法律服务（法律顾问）；（2）代理涉诉案件法律服务：受广西医科大学第一附属医院委托，代理广西医科大学第一附属医院的涉诉案件。（3）其他法律服务。</w:t>
            </w:r>
          </w:p>
          <w:p w14:paraId="440BD7B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▲一、常规法律服务要求</w:t>
            </w:r>
          </w:p>
          <w:p w14:paraId="57D7CE9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(1)应采购人的要求，向采购人的各部门提供国家有关法律法规信息，对生产、经营、管理等方面的重大决策从法律上进行论证并提供法律意见和法律依据，应采购人要求出具书面意见。</w:t>
            </w:r>
          </w:p>
          <w:p w14:paraId="0500315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采购人各部门起草或者拟发布的采购文件、采购项目质疑和投诉答复材料、规章制度、文件材料或草拟的各类合同，从法律方面提出修改和补充建议，拟定、补充、完善商务条款、法律条款，应采购人要求出具书面意见。</w:t>
            </w:r>
          </w:p>
          <w:p w14:paraId="014CD43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(3)参与处理涉及采购人尚未形成诉讼的民事纠纷、经济纠纷、行政纠纷、劳动人事争议和其他纠纷，提出调解方案，应采购人要求代表采购人进行调解或者参与调解活动；</w:t>
            </w:r>
          </w:p>
          <w:p w14:paraId="2AD7A6E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(4)应采购人要求，对采购人工作人员进行法律方面的业务培训，协助采购人进行法治宣传教育；</w:t>
            </w:r>
          </w:p>
          <w:p w14:paraId="299B0CE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(5)应采购人要求参与处理临时性的突发事件，办理涉诉案件；</w:t>
            </w:r>
          </w:p>
          <w:p w14:paraId="4D8B2D1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(6)应采购人要求办理强制执行等法律事务；</w:t>
            </w:r>
          </w:p>
          <w:p w14:paraId="2EEC07D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（7）根据医院的需要对外签发律师函；</w:t>
            </w:r>
          </w:p>
          <w:p w14:paraId="3FCF536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（8）提供数据合规法律服务，如为采购人数据出境、人类遗传资源出境安全审查、评估提供法律服务；</w:t>
            </w:r>
          </w:p>
          <w:p w14:paraId="7CE7010D">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提供科研项目管理、科研成果转化、科研合同审查等知识产权法律服务；</w:t>
            </w:r>
          </w:p>
          <w:p w14:paraId="4D9EE24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双方协商确定的其他常规法律服务。</w:t>
            </w:r>
          </w:p>
          <w:p w14:paraId="7404775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▲二、医务相关法律事务服务要求</w:t>
            </w:r>
          </w:p>
          <w:p w14:paraId="0E6B2AA7">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（1）应采购人的要求，为病历资料的管理、重要材料的书写、医患沟通证据收集给予指导并提出法律意见，防止发生医疗纠纷时医院举证不能；</w:t>
            </w:r>
          </w:p>
          <w:p w14:paraId="2A9427E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（2）应采购人的要求，为采购人提供医疗损害投诉及纠纷处理法律事务，以及追索患者欠费法律服务；</w:t>
            </w:r>
          </w:p>
          <w:p w14:paraId="1340913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应采购人的要求，准备医疗损害纠纷调解、鉴定所需的证据材料，撰写纠纷陈述意见，参与医疗损害纠纷的现场调解，如：医调会调解，必要时负责与患者或家属进行及时的沟通谈话，对患者投诉的问题进行适当的解释，对处理经过的关键环节进行书面记录，引导患者或家属通过合理、合法途径解决医疗纠纷；</w:t>
            </w:r>
          </w:p>
          <w:p w14:paraId="40494BD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（4）参与鉴定前院内讨论，准备鉴定答辩材料，代理采购人参与医学鉴定、司法鉴定；</w:t>
            </w:r>
          </w:p>
          <w:p w14:paraId="000ABA8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（5）在全国范围内代理采购人参与医疗损害、医疗事故争议诉讼；</w:t>
            </w:r>
          </w:p>
          <w:p w14:paraId="03E1AE4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（6）对于已签订调解协议书的医疗纠纷，经与医院协商后，代表医院完成司法确认工作，包括医院资料的准备、通知患方准备材料、与患者、法官预约司法确认时间和手续，代理医院完成司法确认书的签订。</w:t>
            </w:r>
          </w:p>
          <w:p w14:paraId="0517FE8D">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（7）应采购人要求，负责院内各科室的律师见证和法律查房工作。</w:t>
            </w:r>
          </w:p>
          <w:p w14:paraId="423E702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（8）参与采购人组织的医疗纠纷内部讨论会，从法律方面提出争议处理的方案、意见；</w:t>
            </w:r>
          </w:p>
          <w:p w14:paraId="480B832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（9）应采购人要求，参加死亡病例讨论、月度工作会议、伦理委员会会议等可能涉及法律问题处理的会议；</w:t>
            </w:r>
          </w:p>
          <w:p w14:paraId="67B7E6C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（10）协助主管医师与患者或家属进行病情及治疗措施的告知，参加术前谈话，为医院完善临床试验、临床研究、诊疗服务知情告知制度提供专业法律服务；</w:t>
            </w:r>
          </w:p>
          <w:p w14:paraId="3DC3379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（11）应采购人要求，对采购人与卫生行政主管部门工作联系中涉及的重大问题，适时提出法律意见；</w:t>
            </w:r>
          </w:p>
          <w:p w14:paraId="419C4A5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（12）发生医疗纠纷时，应采购人要求，协助采购人与卫生行政管理部门进行工作联系、沟通协调，代表采购人参与医疗纠纷的行政处理，提供法律意见；</w:t>
            </w:r>
          </w:p>
          <w:p w14:paraId="737D0FB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（13）需要法律顾问参加的其他涉及医务管理相关法律事务。</w:t>
            </w:r>
          </w:p>
          <w:p w14:paraId="5050AF6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▲三、涉诉案件法律服务要求</w:t>
            </w:r>
          </w:p>
          <w:p w14:paraId="09E4304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受采购人委托，完成案件答辩状、代理词、证据目录、质证意见、起（反）诉状、鉴定陈述答辩意见等法律文书，代理采购人的民事、行政诉讼或仲裁等涉诉案件，负责收集、整理、装订有关证据材料，并出庭应诉；</w:t>
            </w:r>
          </w:p>
          <w:p w14:paraId="400F645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(2)双方协商确定的其他涉诉案件法律服务。</w:t>
            </w:r>
          </w:p>
          <w:p w14:paraId="5A1FBD3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▲四、服务要求</w:t>
            </w:r>
          </w:p>
          <w:p w14:paraId="77C535C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供应商应为本项目成立不少于7人的项目团队，其中：具有律师资格证书的成员6人，法律服务辅助人员1人。法律服务辅助人员要求：20-35岁之间，大专以上（含大专）文化程度，身体健康，有较强的事业心、责任感，仪表得体，举止端庄，谈吐文明。</w:t>
            </w:r>
          </w:p>
          <w:p w14:paraId="3F7AAF2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于采购人提出的合法性审查要求或者法律咨询，应当在3个工作日内出具书面法律意见、予以答复；对于采购人认为不立即处理将损害医院利益的法律事务，应当在采购人指定的期限内按采购人指定的形式予以处理。</w:t>
            </w:r>
          </w:p>
          <w:p w14:paraId="1AD6211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3.供应商应指定1名联系人，长期保持通讯畅通，满足7*24 小时*365天要求。在项目合同执行期间未经采购人书面同意不得随意调换为采购人提供法律服务的律师。如果采购人要求更换律师，投标人应积极配合，在采购人要求的时间内予以更换。</w:t>
            </w:r>
          </w:p>
          <w:p w14:paraId="0BF5B12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4.相关法律事务如需晤面处理，供应商律师应按时前往采购人指定的地点。</w:t>
            </w:r>
          </w:p>
          <w:p w14:paraId="617DDC50">
            <w:pPr>
              <w:spacing w:line="360" w:lineRule="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5.供应商对在工作中接触、了解到的采购人业务秘密，负有保密责任。</w:t>
            </w:r>
          </w:p>
          <w:p w14:paraId="2D169E88">
            <w:pPr>
              <w:pStyle w:val="2"/>
              <w:spacing w:line="360" w:lineRule="auto"/>
              <w:jc w:val="left"/>
              <w:rPr>
                <w:rFonts w:hint="default"/>
                <w:highlight w:val="none"/>
                <w:lang w:val="en-US" w:eastAsia="zh-CN"/>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采购人每月对供应商进行考核（详见附件1），考核结果分为：合格与不合格。满分为100分，90分以上（含90分）为合格；90分以下为不合格。出现不合格时，每降低5分扣款2000元，考核涉及的所有扣款，均在当年服务款中扣除。出现不合格时，</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必须向采购人提交整改方案，连续两个月或年度内累计3次出现服务考核不合格的，或因供应商原因导致采购人各项检查未通过的，采购人有权单方终止本合同。</w:t>
            </w:r>
          </w:p>
        </w:tc>
      </w:tr>
      <w:tr w14:paraId="3665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14:paraId="76EADEE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商务条款</w:t>
            </w:r>
          </w:p>
        </w:tc>
      </w:tr>
      <w:tr w14:paraId="6109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31675472">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服务时间</w:t>
            </w:r>
            <w:r>
              <w:rPr>
                <w:rFonts w:hint="eastAsia" w:ascii="宋体" w:hAnsi="宋体" w:cs="宋体"/>
                <w:color w:val="000000" w:themeColor="text1"/>
                <w:sz w:val="22"/>
                <w:szCs w:val="22"/>
                <w:highlight w:val="none"/>
                <w:lang w:val="en-US" w:eastAsia="zh-CN"/>
                <w14:textFill>
                  <w14:solidFill>
                    <w14:schemeClr w14:val="tx1"/>
                  </w14:solidFill>
                </w14:textFill>
              </w:rPr>
              <w:t>及地点</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3329A3A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服务期限：期限为</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年，开始及结束日期以合同签订时确定的时间为准。</w:t>
            </w:r>
          </w:p>
          <w:p w14:paraId="6F579B5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服务地点：广西医科大学第一附属医院</w:t>
            </w:r>
          </w:p>
        </w:tc>
      </w:tr>
      <w:tr w14:paraId="6B6CC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333F8BB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报价要求</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6C1E2EB8">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服务费用实行总包制，投标报价应包含</w:t>
            </w:r>
            <w:r>
              <w:rPr>
                <w:rFonts w:hint="eastAsia" w:ascii="宋体" w:hAnsi="宋体" w:cs="宋体"/>
                <w:sz w:val="22"/>
                <w:szCs w:val="22"/>
                <w:highlight w:val="none"/>
                <w:lang w:val="en-US" w:eastAsia="zh-CN"/>
              </w:rPr>
              <w:t>但不限于</w:t>
            </w:r>
            <w:r>
              <w:rPr>
                <w:rFonts w:hint="eastAsia" w:ascii="宋体" w:hAnsi="宋体" w:eastAsia="宋体" w:cs="宋体"/>
                <w:sz w:val="22"/>
                <w:szCs w:val="22"/>
                <w:highlight w:val="none"/>
              </w:rPr>
              <w:t>：法律顾问服务费、</w:t>
            </w:r>
            <w:r>
              <w:rPr>
                <w:rFonts w:hint="eastAsia" w:ascii="宋体" w:hAnsi="宋体" w:cs="宋体"/>
                <w:sz w:val="22"/>
                <w:szCs w:val="22"/>
                <w:highlight w:val="none"/>
                <w:lang w:val="en-US" w:eastAsia="zh-CN"/>
              </w:rPr>
              <w:t>人员薪酬及福利、完成本项目所需的一切设备及工具、</w:t>
            </w:r>
            <w:r>
              <w:rPr>
                <w:rFonts w:hint="eastAsia" w:ascii="宋体" w:hAnsi="宋体" w:eastAsia="宋体" w:cs="宋体"/>
                <w:sz w:val="22"/>
                <w:szCs w:val="22"/>
                <w:highlight w:val="none"/>
              </w:rPr>
              <w:t>南宁市内交通费、通讯费、餐费</w:t>
            </w:r>
            <w:r>
              <w:rPr>
                <w:rFonts w:hint="eastAsia" w:ascii="宋体" w:hAnsi="宋体" w:cs="宋体"/>
                <w:sz w:val="22"/>
                <w:szCs w:val="22"/>
                <w:highlight w:val="none"/>
                <w:lang w:eastAsia="zh-CN"/>
              </w:rPr>
              <w:t>以及其他管理费用、税费、奖金、企业利润等。供应商报价时应充分考虑各项投标成本、税金等与本项目相关的一切费用，以及市场价格变动等风险。项目实施过程中，采购人不再支付其他任何费用。</w:t>
            </w:r>
          </w:p>
          <w:p w14:paraId="0C2D0631">
            <w:pPr>
              <w:pStyle w:val="2"/>
              <w:numPr>
                <w:ilvl w:val="0"/>
                <w:numId w:val="0"/>
              </w:numPr>
              <w:ind w:left="63" w:leftChars="30" w:right="63" w:rightChars="30"/>
              <w:jc w:val="both"/>
              <w:rPr>
                <w:rFonts w:hint="eastAsia"/>
                <w:highlight w:val="none"/>
              </w:rPr>
            </w:pPr>
            <w:r>
              <w:rPr>
                <w:rFonts w:hint="eastAsia" w:ascii="宋体" w:hAnsi="宋体" w:eastAsia="宋体" w:cs="宋体"/>
                <w:kern w:val="2"/>
                <w:sz w:val="22"/>
                <w:szCs w:val="22"/>
                <w:highlight w:val="none"/>
                <w:lang w:val="en-US" w:eastAsia="zh-CN" w:bidi="ar-SA"/>
              </w:rPr>
              <w:t>2.有效的供应商的报价≤本项目的最高控制价。</w:t>
            </w:r>
          </w:p>
        </w:tc>
      </w:tr>
      <w:tr w14:paraId="3130D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490FF8B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付款方式、时间、条件</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285A8D81">
            <w:pPr>
              <w:pStyle w:val="10"/>
              <w:numPr>
                <w:ilvl w:val="0"/>
                <w:numId w:val="0"/>
              </w:numPr>
              <w:spacing w:line="360"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1、付款方式: 双方对全年考核表扣减费用进行核对后，服务费按年进行支付，供应商应在每年顾问期结束前向采购人提供付款材料，并开具有效票据，上述材料经采购人审核无误后，采购人自材料审核完成之日起45个工作日内将费用汇至供应商指定账户。</w:t>
            </w:r>
          </w:p>
          <w:p w14:paraId="61837E8C">
            <w:pPr>
              <w:pStyle w:val="10"/>
              <w:spacing w:line="360" w:lineRule="auto"/>
              <w:ind w:left="0" w:leftChars="0" w:firstLine="0" w:firstLineChars="0"/>
              <w:rPr>
                <w:rFonts w:hint="eastAsia"/>
                <w:highlight w:val="none"/>
              </w:rPr>
            </w:pPr>
            <w:r>
              <w:rPr>
                <w:rFonts w:hint="eastAsia" w:ascii="宋体" w:hAnsi="宋体" w:eastAsia="宋体" w:cs="宋体"/>
                <w:kern w:val="2"/>
                <w:sz w:val="22"/>
                <w:szCs w:val="22"/>
                <w:highlight w:val="none"/>
                <w:lang w:val="en-US" w:eastAsia="zh-CN" w:bidi="ar-SA"/>
              </w:rPr>
              <w:t>2、发票要求：付款前供应商必须提供真实、有效、合法的正式发票，如提供假发票的，供应商除须向采购人补开合法发票外，并须赔偿采购人发票票面金额一倍的违约金，由此产生的一切损失均由供应商承担。</w:t>
            </w:r>
          </w:p>
        </w:tc>
      </w:tr>
      <w:tr w14:paraId="70EBA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38F53A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验收标准</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6792E739">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1、供应商需承担项目验收时发生的一切费用。</w:t>
            </w:r>
          </w:p>
          <w:p w14:paraId="796F400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2、采购单位将依据</w:t>
            </w:r>
            <w:r>
              <w:rPr>
                <w:rFonts w:hint="eastAsia" w:ascii="宋体" w:hAnsi="宋体" w:cs="宋体"/>
                <w:color w:val="000000" w:themeColor="text1"/>
                <w:sz w:val="22"/>
                <w:szCs w:val="22"/>
                <w:highlight w:val="none"/>
                <w:lang w:val="en-US" w:eastAsia="zh-CN"/>
                <w14:textFill>
                  <w14:solidFill>
                    <w14:schemeClr w14:val="tx1"/>
                  </w14:solidFill>
                </w14:textFill>
              </w:rPr>
              <w:t>合同、</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264F11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57FCA7C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4、验收标准</w:t>
            </w:r>
          </w:p>
          <w:p w14:paraId="4078DFF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（1）项目采购文件及供应商响应文件中的“技术需求偏离表”，逐条验收；</w:t>
            </w:r>
          </w:p>
          <w:p w14:paraId="08744FD5">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（2）项目采购文件及投标人响应文件中的“商务条款偏离表”，逐条验收；</w:t>
            </w:r>
          </w:p>
          <w:p w14:paraId="0FAE1D14">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（3）供应商响应文件中其他技术、服务、商务性的说明、承诺事项，逐条验收。</w:t>
            </w:r>
          </w:p>
        </w:tc>
      </w:tr>
      <w:tr w14:paraId="2E5E8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45BA87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其他要求</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0401148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成交供应商必须对在服务过程中取得的信息，严格保密并与采购人签订保密协议。</w:t>
            </w:r>
          </w:p>
        </w:tc>
      </w:tr>
    </w:tbl>
    <w:p w14:paraId="54788475">
      <w:pPr>
        <w:pStyle w:val="15"/>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sectPr>
          <w:footerReference r:id="rId4" w:type="first"/>
          <w:footerReference r:id="rId3" w:type="default"/>
          <w:pgSz w:w="11906" w:h="16838"/>
          <w:pgMar w:top="1418" w:right="1555" w:bottom="1418" w:left="1531" w:header="851" w:footer="992" w:gutter="0"/>
          <w:pgNumType w:fmt="decimal"/>
          <w:cols w:space="720" w:num="1"/>
          <w:titlePg/>
          <w:docGrid w:type="lines" w:linePitch="312" w:charSpace="0"/>
        </w:sectPr>
      </w:pPr>
    </w:p>
    <w:p w14:paraId="58AB7872">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附件1：考核表</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272"/>
        <w:gridCol w:w="5235"/>
        <w:gridCol w:w="1007"/>
        <w:gridCol w:w="979"/>
      </w:tblGrid>
      <w:tr w14:paraId="090E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6407D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考核表</w:t>
            </w:r>
          </w:p>
        </w:tc>
      </w:tr>
      <w:tr w14:paraId="02AC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BFD68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评价时段：   年  月   日- </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年    月   日</w:t>
            </w:r>
          </w:p>
        </w:tc>
      </w:tr>
      <w:tr w14:paraId="3D23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14:paraId="4E9616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DB2B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22C24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考核标准</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62A7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得分 </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9A2EE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处罚原因</w:t>
            </w:r>
          </w:p>
        </w:tc>
      </w:tr>
      <w:tr w14:paraId="566E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000000" w:sz="4" w:space="0"/>
              <w:left w:val="single" w:color="000000" w:sz="4" w:space="0"/>
              <w:right w:val="single" w:color="000000" w:sz="4" w:space="0"/>
            </w:tcBorders>
            <w:noWrap/>
            <w:vAlign w:val="center"/>
          </w:tcPr>
          <w:p w14:paraId="41BA4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704" w:type="pct"/>
            <w:vMerge w:val="restart"/>
            <w:tcBorders>
              <w:top w:val="single" w:color="000000" w:sz="4" w:space="0"/>
              <w:left w:val="single" w:color="000000" w:sz="4" w:space="0"/>
              <w:right w:val="single" w:color="000000" w:sz="4" w:space="0"/>
            </w:tcBorders>
            <w:noWrap w:val="0"/>
            <w:vAlign w:val="center"/>
          </w:tcPr>
          <w:p w14:paraId="3426C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服务质量</w:t>
            </w:r>
            <w:r>
              <w:rPr>
                <w:rFonts w:hint="eastAsia" w:ascii="宋体" w:hAnsi="宋体" w:cs="宋体"/>
                <w:i w:val="0"/>
                <w:iCs w:val="0"/>
                <w:color w:val="auto"/>
                <w:kern w:val="0"/>
                <w:sz w:val="24"/>
                <w:szCs w:val="24"/>
                <w:highlight w:val="none"/>
                <w:u w:val="none"/>
                <w:lang w:val="en-US" w:eastAsia="zh-CN" w:bidi="ar"/>
              </w:rPr>
              <w:t>及响应时间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60</w:t>
            </w:r>
            <w:r>
              <w:rPr>
                <w:rFonts w:hint="eastAsia" w:ascii="宋体" w:hAnsi="宋体" w:eastAsia="宋体" w:cs="宋体"/>
                <w:i w:val="0"/>
                <w:iCs w:val="0"/>
                <w:color w:val="auto"/>
                <w:kern w:val="0"/>
                <w:sz w:val="24"/>
                <w:szCs w:val="24"/>
                <w:highlight w:val="none"/>
                <w:u w:val="none"/>
                <w:lang w:val="en-US" w:eastAsia="zh-CN" w:bidi="ar"/>
              </w:rPr>
              <w:t>分）</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141DB3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中标人未按</w:t>
            </w:r>
            <w:r>
              <w:rPr>
                <w:rFonts w:hint="eastAsia" w:ascii="宋体" w:hAnsi="宋体" w:cs="宋体"/>
                <w:i w:val="0"/>
                <w:iCs w:val="0"/>
                <w:color w:val="auto"/>
                <w:kern w:val="0"/>
                <w:sz w:val="24"/>
                <w:szCs w:val="24"/>
                <w:highlight w:val="none"/>
                <w:u w:val="none"/>
                <w:lang w:val="en-US" w:eastAsia="zh-CN" w:bidi="ar"/>
              </w:rPr>
              <w:t>采购文件、</w:t>
            </w:r>
            <w:r>
              <w:rPr>
                <w:rFonts w:hint="eastAsia" w:ascii="宋体" w:hAnsi="宋体" w:eastAsia="宋体" w:cs="宋体"/>
                <w:i w:val="0"/>
                <w:iCs w:val="0"/>
                <w:color w:val="auto"/>
                <w:kern w:val="0"/>
                <w:sz w:val="24"/>
                <w:szCs w:val="24"/>
                <w:highlight w:val="none"/>
                <w:u w:val="none"/>
                <w:lang w:val="en-US" w:eastAsia="zh-CN" w:bidi="ar"/>
              </w:rPr>
              <w:t>合同要求及相关行业规范提供服务</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，或</w:t>
            </w:r>
            <w:r>
              <w:rPr>
                <w:rFonts w:hint="eastAsia" w:ascii="宋体" w:hAnsi="宋体" w:cs="宋体"/>
                <w:i w:val="0"/>
                <w:iCs w:val="0"/>
                <w:color w:val="auto"/>
                <w:kern w:val="0"/>
                <w:sz w:val="24"/>
                <w:szCs w:val="24"/>
                <w:highlight w:val="none"/>
                <w:u w:val="none"/>
                <w:lang w:val="en-US" w:eastAsia="zh-CN" w:bidi="ar"/>
              </w:rPr>
              <w:t>提供服务</w:t>
            </w:r>
            <w:r>
              <w:rPr>
                <w:rFonts w:hint="eastAsia" w:ascii="宋体" w:hAnsi="宋体" w:eastAsia="宋体" w:cs="宋体"/>
                <w:i w:val="0"/>
                <w:iCs w:val="0"/>
                <w:color w:val="auto"/>
                <w:kern w:val="0"/>
                <w:sz w:val="24"/>
                <w:szCs w:val="24"/>
                <w:highlight w:val="none"/>
                <w:u w:val="none"/>
                <w:lang w:val="en-US" w:eastAsia="zh-CN" w:bidi="ar"/>
              </w:rPr>
              <w:t>存在明显缺陷的，扣</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A5E57C6">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CBB00C0">
            <w:pPr>
              <w:jc w:val="center"/>
              <w:rPr>
                <w:rFonts w:hint="eastAsia" w:ascii="宋体" w:hAnsi="宋体" w:eastAsia="宋体" w:cs="宋体"/>
                <w:i w:val="0"/>
                <w:iCs w:val="0"/>
                <w:color w:val="auto"/>
                <w:sz w:val="24"/>
                <w:szCs w:val="24"/>
                <w:highlight w:val="none"/>
                <w:u w:val="none"/>
              </w:rPr>
            </w:pPr>
          </w:p>
        </w:tc>
      </w:tr>
      <w:tr w14:paraId="7F38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vMerge w:val="continue"/>
            <w:tcBorders>
              <w:left w:val="single" w:color="000000" w:sz="4" w:space="0"/>
              <w:right w:val="single" w:color="000000" w:sz="4" w:space="0"/>
            </w:tcBorders>
            <w:noWrap/>
            <w:vAlign w:val="center"/>
          </w:tcPr>
          <w:p w14:paraId="44ED9A33">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447172F2">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2FD89CA1">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对于采购人提出的合法性审查要求或者法律咨询，</w:t>
            </w:r>
            <w:r>
              <w:rPr>
                <w:rFonts w:hint="eastAsia" w:ascii="宋体" w:hAnsi="宋体" w:cs="宋体"/>
                <w:i w:val="0"/>
                <w:iCs w:val="0"/>
                <w:color w:val="auto"/>
                <w:sz w:val="24"/>
                <w:szCs w:val="24"/>
                <w:highlight w:val="none"/>
                <w:u w:val="none"/>
                <w:lang w:val="en-US" w:eastAsia="zh-CN"/>
              </w:rPr>
              <w:t>未</w:t>
            </w:r>
            <w:r>
              <w:rPr>
                <w:rFonts w:hint="eastAsia" w:ascii="宋体" w:hAnsi="宋体" w:eastAsia="宋体" w:cs="宋体"/>
                <w:i w:val="0"/>
                <w:iCs w:val="0"/>
                <w:color w:val="auto"/>
                <w:sz w:val="24"/>
                <w:szCs w:val="24"/>
                <w:highlight w:val="none"/>
                <w:u w:val="none"/>
              </w:rPr>
              <w:t>在3个工作日内出具书面法律意见、予以答复</w:t>
            </w:r>
            <w:r>
              <w:rPr>
                <w:rFonts w:hint="eastAsia" w:ascii="宋体" w:hAnsi="宋体" w:cs="宋体"/>
                <w:i w:val="0"/>
                <w:iCs w:val="0"/>
                <w:color w:val="auto"/>
                <w:sz w:val="24"/>
                <w:szCs w:val="24"/>
                <w:highlight w:val="none"/>
                <w:u w:val="none"/>
                <w:lang w:val="en-US" w:eastAsia="zh-CN"/>
              </w:rPr>
              <w:t>的，或其他法律业务未在采购人指定的期限内按采购人指定的形式予以处理的，扣5分/次。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DC170D6">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75C533F">
            <w:pPr>
              <w:jc w:val="center"/>
              <w:rPr>
                <w:rFonts w:hint="eastAsia" w:ascii="宋体" w:hAnsi="宋体" w:eastAsia="宋体" w:cs="宋体"/>
                <w:i w:val="0"/>
                <w:iCs w:val="0"/>
                <w:color w:val="auto"/>
                <w:sz w:val="24"/>
                <w:szCs w:val="24"/>
                <w:highlight w:val="none"/>
                <w:u w:val="none"/>
              </w:rPr>
            </w:pPr>
          </w:p>
        </w:tc>
      </w:tr>
      <w:tr w14:paraId="0E9F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left w:val="single" w:color="000000" w:sz="4" w:space="0"/>
              <w:right w:val="single" w:color="000000" w:sz="4" w:space="0"/>
            </w:tcBorders>
            <w:noWrap/>
            <w:vAlign w:val="center"/>
          </w:tcPr>
          <w:p w14:paraId="6FA062DA">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38AAE208">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54DF4BE1">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供应商应指定1名联系人，长期保持通讯畅通，满足7*24 小时*365天要求</w:t>
            </w:r>
            <w:r>
              <w:rPr>
                <w:rFonts w:hint="eastAsia" w:ascii="宋体" w:hAnsi="宋体" w:cs="宋体"/>
                <w:i w:val="0"/>
                <w:iCs w:val="0"/>
                <w:color w:val="auto"/>
                <w:sz w:val="24"/>
                <w:szCs w:val="24"/>
                <w:highlight w:val="none"/>
                <w:u w:val="none"/>
                <w:lang w:eastAsia="zh-CN"/>
              </w:rPr>
              <w:t>，</w:t>
            </w:r>
            <w:r>
              <w:rPr>
                <w:rFonts w:hint="eastAsia" w:ascii="宋体" w:hAnsi="宋体" w:cs="宋体"/>
                <w:i w:val="0"/>
                <w:iCs w:val="0"/>
                <w:color w:val="auto"/>
                <w:sz w:val="24"/>
                <w:szCs w:val="24"/>
                <w:highlight w:val="none"/>
                <w:u w:val="none"/>
                <w:lang w:val="en-US" w:eastAsia="zh-CN"/>
              </w:rPr>
              <w:t>若联系人在工作时间超过8小时未响应采购人需求的，扣5分/次。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6A61111">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F783A93">
            <w:pPr>
              <w:jc w:val="center"/>
              <w:rPr>
                <w:rFonts w:hint="eastAsia" w:ascii="宋体" w:hAnsi="宋体" w:eastAsia="宋体" w:cs="宋体"/>
                <w:i w:val="0"/>
                <w:iCs w:val="0"/>
                <w:color w:val="auto"/>
                <w:sz w:val="24"/>
                <w:szCs w:val="24"/>
                <w:highlight w:val="none"/>
                <w:u w:val="none"/>
              </w:rPr>
            </w:pPr>
          </w:p>
        </w:tc>
      </w:tr>
      <w:tr w14:paraId="086C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000000" w:sz="4" w:space="0"/>
              <w:left w:val="single" w:color="000000" w:sz="4" w:space="0"/>
              <w:bottom w:val="single" w:color="000000" w:sz="4" w:space="0"/>
              <w:right w:val="single" w:color="000000" w:sz="4" w:space="0"/>
            </w:tcBorders>
            <w:noWrap/>
            <w:vAlign w:val="center"/>
          </w:tcPr>
          <w:p w14:paraId="0A87F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2CFC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服务态度及满意度（</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分）</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662991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因供应商管理不力，服务人员态度恶劣、严重违反采购人院内纪律造成不良影响的，扣10分/次。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EA4BD80">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0E96C7A">
            <w:pPr>
              <w:jc w:val="center"/>
              <w:rPr>
                <w:rFonts w:hint="eastAsia" w:ascii="宋体" w:hAnsi="宋体" w:eastAsia="宋体" w:cs="宋体"/>
                <w:i w:val="0"/>
                <w:iCs w:val="0"/>
                <w:color w:val="auto"/>
                <w:sz w:val="24"/>
                <w:szCs w:val="24"/>
                <w:highlight w:val="none"/>
                <w:u w:val="none"/>
              </w:rPr>
            </w:pPr>
          </w:p>
        </w:tc>
      </w:tr>
      <w:tr w14:paraId="7DD8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vMerge w:val="continue"/>
            <w:tcBorders>
              <w:top w:val="single" w:color="000000" w:sz="4" w:space="0"/>
              <w:left w:val="single" w:color="000000" w:sz="4" w:space="0"/>
              <w:bottom w:val="single" w:color="auto" w:sz="4" w:space="0"/>
              <w:right w:val="single" w:color="000000" w:sz="4" w:space="0"/>
            </w:tcBorders>
            <w:noWrap/>
            <w:vAlign w:val="center"/>
          </w:tcPr>
          <w:p w14:paraId="5405DCD1">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000000" w:sz="4" w:space="0"/>
              <w:left w:val="single" w:color="000000" w:sz="4" w:space="0"/>
              <w:bottom w:val="single" w:color="auto" w:sz="4" w:space="0"/>
              <w:right w:val="single" w:color="000000" w:sz="4" w:space="0"/>
            </w:tcBorders>
            <w:noWrap w:val="0"/>
            <w:vAlign w:val="center"/>
          </w:tcPr>
          <w:p w14:paraId="0AA46A20">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auto" w:sz="4" w:space="0"/>
              <w:right w:val="single" w:color="000000" w:sz="4" w:space="0"/>
            </w:tcBorders>
            <w:noWrap w:val="0"/>
            <w:vAlign w:val="center"/>
          </w:tcPr>
          <w:p w14:paraId="248404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接到院内各科室</w:t>
            </w:r>
            <w:r>
              <w:rPr>
                <w:rFonts w:hint="eastAsia" w:ascii="宋体" w:hAnsi="宋体" w:eastAsia="宋体" w:cs="宋体"/>
                <w:i w:val="0"/>
                <w:iCs w:val="0"/>
                <w:color w:val="auto"/>
                <w:kern w:val="0"/>
                <w:sz w:val="24"/>
                <w:szCs w:val="24"/>
                <w:highlight w:val="none"/>
                <w:u w:val="none"/>
                <w:lang w:val="en-US" w:eastAsia="zh-CN" w:bidi="ar"/>
              </w:rPr>
              <w:t>意见反馈问题或投诉，经查属实，扣5分/次。</w:t>
            </w:r>
          </w:p>
        </w:tc>
        <w:tc>
          <w:tcPr>
            <w:tcW w:w="557" w:type="pct"/>
            <w:tcBorders>
              <w:top w:val="single" w:color="000000" w:sz="4" w:space="0"/>
              <w:left w:val="single" w:color="000000" w:sz="4" w:space="0"/>
              <w:bottom w:val="single" w:color="auto" w:sz="4" w:space="0"/>
              <w:right w:val="single" w:color="000000" w:sz="4" w:space="0"/>
            </w:tcBorders>
            <w:noWrap w:val="0"/>
            <w:vAlign w:val="center"/>
          </w:tcPr>
          <w:p w14:paraId="741A197A">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auto" w:sz="4" w:space="0"/>
              <w:right w:val="single" w:color="000000" w:sz="4" w:space="0"/>
            </w:tcBorders>
            <w:noWrap w:val="0"/>
            <w:vAlign w:val="center"/>
          </w:tcPr>
          <w:p w14:paraId="125DDAEC">
            <w:pPr>
              <w:jc w:val="center"/>
              <w:rPr>
                <w:rFonts w:hint="eastAsia" w:ascii="宋体" w:hAnsi="宋体" w:eastAsia="宋体" w:cs="宋体"/>
                <w:i w:val="0"/>
                <w:iCs w:val="0"/>
                <w:color w:val="auto"/>
                <w:sz w:val="24"/>
                <w:szCs w:val="24"/>
                <w:highlight w:val="none"/>
                <w:u w:val="none"/>
              </w:rPr>
            </w:pPr>
          </w:p>
        </w:tc>
      </w:tr>
      <w:tr w14:paraId="6ED0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auto" w:sz="4" w:space="0"/>
              <w:left w:val="single" w:color="auto" w:sz="4" w:space="0"/>
              <w:bottom w:val="single" w:color="auto" w:sz="4" w:space="0"/>
              <w:right w:val="single" w:color="auto" w:sz="4" w:space="0"/>
            </w:tcBorders>
            <w:noWrap/>
            <w:vAlign w:val="center"/>
          </w:tcPr>
          <w:p w14:paraId="0701D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p>
        </w:tc>
        <w:tc>
          <w:tcPr>
            <w:tcW w:w="704" w:type="pct"/>
            <w:vMerge w:val="restart"/>
            <w:tcBorders>
              <w:top w:val="single" w:color="auto" w:sz="4" w:space="0"/>
              <w:left w:val="single" w:color="auto" w:sz="4" w:space="0"/>
              <w:bottom w:val="single" w:color="auto" w:sz="4" w:space="0"/>
              <w:right w:val="single" w:color="auto" w:sz="4" w:space="0"/>
            </w:tcBorders>
            <w:noWrap/>
            <w:vAlign w:val="center"/>
          </w:tcPr>
          <w:p w14:paraId="706D9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分）</w:t>
            </w:r>
          </w:p>
        </w:tc>
        <w:tc>
          <w:tcPr>
            <w:tcW w:w="2898" w:type="pct"/>
            <w:tcBorders>
              <w:top w:val="single" w:color="auto" w:sz="4" w:space="0"/>
              <w:left w:val="single" w:color="auto" w:sz="4" w:space="0"/>
              <w:bottom w:val="single" w:color="auto" w:sz="4" w:space="0"/>
              <w:right w:val="single" w:color="auto" w:sz="4" w:space="0"/>
            </w:tcBorders>
            <w:noWrap w:val="0"/>
            <w:vAlign w:val="center"/>
          </w:tcPr>
          <w:p w14:paraId="65C6FE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因供应商自身原因对采购人造成不良影响的（如导致负面舆情</w:t>
            </w:r>
            <w:r>
              <w:rPr>
                <w:rFonts w:hint="eastAsia" w:ascii="宋体" w:hAnsi="宋体" w:cs="宋体"/>
                <w:i w:val="0"/>
                <w:iCs w:val="0"/>
                <w:color w:val="auto"/>
                <w:kern w:val="0"/>
                <w:sz w:val="24"/>
                <w:szCs w:val="24"/>
                <w:highlight w:val="none"/>
                <w:u w:val="none"/>
                <w:lang w:val="en-US" w:eastAsia="zh-CN" w:bidi="ar"/>
              </w:rPr>
              <w:t>、扩大医疗纠纷等</w:t>
            </w:r>
            <w:r>
              <w:rPr>
                <w:rFonts w:hint="eastAsia" w:ascii="宋体" w:hAnsi="宋体" w:eastAsia="宋体" w:cs="宋体"/>
                <w:i w:val="0"/>
                <w:iCs w:val="0"/>
                <w:color w:val="auto"/>
                <w:kern w:val="0"/>
                <w:sz w:val="24"/>
                <w:szCs w:val="24"/>
                <w:highlight w:val="none"/>
                <w:u w:val="none"/>
                <w:lang w:val="en-US" w:eastAsia="zh-CN" w:bidi="ar"/>
              </w:rPr>
              <w:t>），扣10分/次。</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7D2C69E3">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6BFB2AD6">
            <w:pPr>
              <w:jc w:val="center"/>
              <w:rPr>
                <w:rFonts w:hint="eastAsia" w:ascii="宋体" w:hAnsi="宋体" w:eastAsia="宋体" w:cs="宋体"/>
                <w:i w:val="0"/>
                <w:iCs w:val="0"/>
                <w:color w:val="auto"/>
                <w:sz w:val="24"/>
                <w:szCs w:val="24"/>
                <w:highlight w:val="none"/>
                <w:u w:val="none"/>
              </w:rPr>
            </w:pPr>
          </w:p>
        </w:tc>
      </w:tr>
      <w:tr w14:paraId="1B81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auto" w:sz="4" w:space="0"/>
              <w:left w:val="single" w:color="auto" w:sz="4" w:space="0"/>
              <w:bottom w:val="single" w:color="auto" w:sz="4" w:space="0"/>
              <w:right w:val="single" w:color="auto" w:sz="4" w:space="0"/>
            </w:tcBorders>
            <w:noWrap/>
            <w:vAlign w:val="center"/>
          </w:tcPr>
          <w:p w14:paraId="24F7D910">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62FAEF25">
            <w:pPr>
              <w:jc w:val="center"/>
              <w:rPr>
                <w:rFonts w:hint="eastAsia" w:ascii="宋体" w:hAnsi="宋体" w:eastAsia="宋体" w:cs="宋体"/>
                <w:i w:val="0"/>
                <w:iCs w:val="0"/>
                <w:color w:val="auto"/>
                <w:sz w:val="24"/>
                <w:szCs w:val="24"/>
                <w:highlight w:val="none"/>
                <w:u w:val="none"/>
              </w:rPr>
            </w:pPr>
          </w:p>
        </w:tc>
        <w:tc>
          <w:tcPr>
            <w:tcW w:w="2898" w:type="pct"/>
            <w:tcBorders>
              <w:top w:val="single" w:color="auto" w:sz="4" w:space="0"/>
              <w:left w:val="single" w:color="auto" w:sz="4" w:space="0"/>
              <w:bottom w:val="single" w:color="auto" w:sz="4" w:space="0"/>
              <w:right w:val="single" w:color="auto" w:sz="4" w:space="0"/>
            </w:tcBorders>
            <w:noWrap w:val="0"/>
            <w:vAlign w:val="center"/>
          </w:tcPr>
          <w:p w14:paraId="5F422169">
            <w:pPr>
              <w:pStyle w:val="10"/>
              <w:ind w:left="0" w:leftChars="0" w:firstLine="0" w:firstLineChars="0"/>
              <w:rPr>
                <w:rFonts w:hint="eastAsia" w:eastAsia="仿宋_GB2312"/>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在项目合同执行期间未经采购人书面同意随意调换为采购人提供法律服务的律师，一经发现扣10分/人。</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0461BCB7">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13DEC20E">
            <w:pPr>
              <w:jc w:val="center"/>
              <w:rPr>
                <w:rFonts w:hint="eastAsia" w:ascii="宋体" w:hAnsi="宋体" w:eastAsia="宋体" w:cs="宋体"/>
                <w:i w:val="0"/>
                <w:iCs w:val="0"/>
                <w:color w:val="auto"/>
                <w:sz w:val="24"/>
                <w:szCs w:val="24"/>
                <w:highlight w:val="none"/>
                <w:u w:val="none"/>
              </w:rPr>
            </w:pPr>
          </w:p>
        </w:tc>
      </w:tr>
      <w:tr w14:paraId="16AD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auto" w:sz="4" w:space="0"/>
              <w:left w:val="single" w:color="auto" w:sz="4" w:space="0"/>
              <w:bottom w:val="single" w:color="auto" w:sz="4" w:space="0"/>
              <w:right w:val="single" w:color="auto" w:sz="4" w:space="0"/>
            </w:tcBorders>
            <w:noWrap/>
            <w:vAlign w:val="center"/>
          </w:tcPr>
          <w:p w14:paraId="5904F1D7">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1122BD22">
            <w:pPr>
              <w:jc w:val="center"/>
              <w:rPr>
                <w:rFonts w:hint="eastAsia" w:ascii="宋体" w:hAnsi="宋体" w:eastAsia="宋体" w:cs="宋体"/>
                <w:i w:val="0"/>
                <w:iCs w:val="0"/>
                <w:color w:val="auto"/>
                <w:sz w:val="24"/>
                <w:szCs w:val="24"/>
                <w:highlight w:val="none"/>
                <w:u w:val="none"/>
              </w:rPr>
            </w:pPr>
          </w:p>
        </w:tc>
        <w:tc>
          <w:tcPr>
            <w:tcW w:w="2898" w:type="pct"/>
            <w:tcBorders>
              <w:top w:val="single" w:color="auto" w:sz="4" w:space="0"/>
              <w:left w:val="single" w:color="auto" w:sz="4" w:space="0"/>
              <w:bottom w:val="single" w:color="auto" w:sz="4" w:space="0"/>
              <w:right w:val="single" w:color="auto" w:sz="4" w:space="0"/>
            </w:tcBorders>
            <w:noWrap w:val="0"/>
            <w:vAlign w:val="center"/>
          </w:tcPr>
          <w:p w14:paraId="17BCDB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服务</w:t>
            </w:r>
            <w:r>
              <w:rPr>
                <w:rFonts w:hint="eastAsia" w:ascii="宋体" w:hAnsi="宋体" w:eastAsia="宋体" w:cs="宋体"/>
                <w:i w:val="0"/>
                <w:iCs w:val="0"/>
                <w:color w:val="auto"/>
                <w:kern w:val="0"/>
                <w:sz w:val="24"/>
                <w:szCs w:val="24"/>
                <w:highlight w:val="none"/>
                <w:u w:val="none"/>
                <w:lang w:val="en-US" w:eastAsia="zh-CN" w:bidi="ar"/>
              </w:rPr>
              <w:t>人员无证</w:t>
            </w:r>
            <w:r>
              <w:rPr>
                <w:rFonts w:hint="eastAsia" w:ascii="宋体" w:hAnsi="宋体" w:cs="宋体"/>
                <w:i w:val="0"/>
                <w:iCs w:val="0"/>
                <w:color w:val="auto"/>
                <w:kern w:val="0"/>
                <w:sz w:val="24"/>
                <w:szCs w:val="24"/>
                <w:highlight w:val="none"/>
                <w:u w:val="none"/>
                <w:lang w:val="en-US" w:eastAsia="zh-CN" w:bidi="ar"/>
              </w:rPr>
              <w:t>或</w:t>
            </w:r>
            <w:r>
              <w:rPr>
                <w:rFonts w:hint="eastAsia" w:ascii="宋体" w:hAnsi="宋体" w:eastAsia="宋体" w:cs="宋体"/>
                <w:i w:val="0"/>
                <w:iCs w:val="0"/>
                <w:color w:val="auto"/>
                <w:kern w:val="0"/>
                <w:sz w:val="24"/>
                <w:szCs w:val="24"/>
                <w:highlight w:val="none"/>
                <w:u w:val="none"/>
                <w:lang w:val="en-US" w:eastAsia="zh-CN" w:bidi="ar"/>
              </w:rPr>
              <w:t>持假证的，人员不符合上岗要求的，个人资料不实，弄虚作假的；扣</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分/人。</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1F5EA4A7">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54CE8C0C">
            <w:pPr>
              <w:jc w:val="center"/>
              <w:rPr>
                <w:rFonts w:hint="eastAsia" w:ascii="宋体" w:hAnsi="宋体" w:eastAsia="宋体" w:cs="宋体"/>
                <w:i w:val="0"/>
                <w:iCs w:val="0"/>
                <w:color w:val="auto"/>
                <w:sz w:val="24"/>
                <w:szCs w:val="24"/>
                <w:highlight w:val="none"/>
                <w:u w:val="none"/>
              </w:rPr>
            </w:pPr>
          </w:p>
        </w:tc>
      </w:tr>
      <w:tr w14:paraId="4CFC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00" w:type="pct"/>
            <w:gridSpan w:val="3"/>
            <w:tcBorders>
              <w:top w:val="single" w:color="auto" w:sz="4" w:space="0"/>
              <w:left w:val="single" w:color="auto" w:sz="4" w:space="0"/>
              <w:bottom w:val="single" w:color="auto" w:sz="4" w:space="0"/>
              <w:right w:val="single" w:color="auto" w:sz="4" w:space="0"/>
            </w:tcBorders>
            <w:noWrap/>
            <w:vAlign w:val="center"/>
          </w:tcPr>
          <w:p w14:paraId="382D24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color w:val="000000"/>
                <w:kern w:val="0"/>
                <w:sz w:val="24"/>
                <w:szCs w:val="24"/>
                <w:highlight w:val="none"/>
                <w:lang w:val="en-US" w:eastAsia="zh-CN"/>
              </w:rPr>
              <w:t>总得分（满分100分）</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71B485EA">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0EF56FCF">
            <w:pPr>
              <w:jc w:val="center"/>
              <w:rPr>
                <w:rFonts w:hint="eastAsia" w:ascii="宋体" w:hAnsi="宋体" w:eastAsia="宋体" w:cs="宋体"/>
                <w:i w:val="0"/>
                <w:iCs w:val="0"/>
                <w:color w:val="auto"/>
                <w:sz w:val="24"/>
                <w:szCs w:val="24"/>
                <w:highlight w:val="none"/>
                <w:u w:val="none"/>
              </w:rPr>
            </w:pPr>
          </w:p>
        </w:tc>
      </w:tr>
      <w:tr w14:paraId="5CE1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2" w:type="pct"/>
            <w:gridSpan w:val="2"/>
            <w:tcBorders>
              <w:top w:val="single" w:color="auto" w:sz="4" w:space="0"/>
              <w:left w:val="single" w:color="auto" w:sz="4" w:space="0"/>
              <w:bottom w:val="single" w:color="auto" w:sz="4" w:space="0"/>
              <w:right w:val="single" w:color="auto" w:sz="4" w:space="0"/>
            </w:tcBorders>
            <w:noWrap/>
            <w:vAlign w:val="center"/>
          </w:tcPr>
          <w:p w14:paraId="270D2A3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color w:val="000000"/>
                <w:kern w:val="0"/>
                <w:sz w:val="24"/>
                <w:szCs w:val="24"/>
                <w:highlight w:val="none"/>
              </w:rPr>
              <w:t>监管部门检查考评人</w:t>
            </w:r>
            <w:r>
              <w:rPr>
                <w:rFonts w:hint="eastAsia" w:ascii="宋体" w:hAnsi="宋体" w:eastAsia="宋体" w:cs="宋体"/>
                <w:b w:val="0"/>
                <w:bCs w:val="0"/>
                <w:color w:val="000000"/>
                <w:kern w:val="0"/>
                <w:sz w:val="24"/>
                <w:szCs w:val="24"/>
                <w:highlight w:val="none"/>
                <w:lang w:val="en-US" w:eastAsia="zh-CN"/>
              </w:rPr>
              <w:t>签字</w:t>
            </w:r>
          </w:p>
        </w:tc>
        <w:tc>
          <w:tcPr>
            <w:tcW w:w="3997" w:type="pct"/>
            <w:gridSpan w:val="3"/>
            <w:tcBorders>
              <w:top w:val="single" w:color="auto" w:sz="4" w:space="0"/>
              <w:left w:val="single" w:color="auto" w:sz="4" w:space="0"/>
              <w:bottom w:val="single" w:color="auto" w:sz="4" w:space="0"/>
              <w:right w:val="single" w:color="auto" w:sz="4" w:space="0"/>
            </w:tcBorders>
            <w:noWrap w:val="0"/>
            <w:vAlign w:val="center"/>
          </w:tcPr>
          <w:p w14:paraId="241205E5">
            <w:pPr>
              <w:jc w:val="center"/>
              <w:rPr>
                <w:rFonts w:hint="eastAsia" w:ascii="宋体" w:hAnsi="宋体" w:eastAsia="宋体" w:cs="宋体"/>
                <w:i w:val="0"/>
                <w:iCs w:val="0"/>
                <w:color w:val="auto"/>
                <w:sz w:val="24"/>
                <w:szCs w:val="24"/>
                <w:highlight w:val="none"/>
                <w:u w:val="none"/>
              </w:rPr>
            </w:pPr>
          </w:p>
        </w:tc>
      </w:tr>
      <w:tr w14:paraId="39AA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2" w:type="pct"/>
            <w:gridSpan w:val="2"/>
            <w:tcBorders>
              <w:top w:val="single" w:color="auto" w:sz="4" w:space="0"/>
              <w:left w:val="single" w:color="auto" w:sz="4" w:space="0"/>
              <w:bottom w:val="single" w:color="auto" w:sz="4" w:space="0"/>
              <w:right w:val="single" w:color="auto" w:sz="4" w:space="0"/>
            </w:tcBorders>
            <w:noWrap/>
            <w:vAlign w:val="center"/>
          </w:tcPr>
          <w:p w14:paraId="7582CDF1">
            <w:pPr>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备注</w:t>
            </w:r>
          </w:p>
        </w:tc>
        <w:tc>
          <w:tcPr>
            <w:tcW w:w="3997" w:type="pct"/>
            <w:gridSpan w:val="3"/>
            <w:tcBorders>
              <w:top w:val="single" w:color="auto" w:sz="4" w:space="0"/>
              <w:left w:val="single" w:color="auto" w:sz="4" w:space="0"/>
              <w:bottom w:val="single" w:color="auto" w:sz="4" w:space="0"/>
              <w:right w:val="single" w:color="auto" w:sz="4" w:space="0"/>
            </w:tcBorders>
            <w:noWrap w:val="0"/>
            <w:vAlign w:val="center"/>
          </w:tcPr>
          <w:p w14:paraId="4442C56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采购人每月对供应商进行考核，考核结果分为：合格与不合格。满分为100分，90分以上（含90分）为合格；90分以下为不合格。出现不合格时，每降低5分扣款2000元，考核涉及的所有扣款，均在</w:t>
            </w:r>
            <w:r>
              <w:rPr>
                <w:rFonts w:hint="eastAsia" w:ascii="宋体" w:hAnsi="宋体" w:cs="宋体"/>
                <w:i w:val="0"/>
                <w:iCs w:val="0"/>
                <w:color w:val="auto"/>
                <w:sz w:val="24"/>
                <w:szCs w:val="24"/>
                <w:highlight w:val="none"/>
                <w:u w:val="none"/>
                <w:lang w:val="en-US" w:eastAsia="zh-CN"/>
              </w:rPr>
              <w:t>当年</w:t>
            </w:r>
            <w:r>
              <w:rPr>
                <w:rFonts w:hint="eastAsia" w:ascii="宋体" w:hAnsi="宋体" w:eastAsia="宋体" w:cs="宋体"/>
                <w:i w:val="0"/>
                <w:iCs w:val="0"/>
                <w:color w:val="auto"/>
                <w:sz w:val="24"/>
                <w:szCs w:val="24"/>
                <w:highlight w:val="none"/>
                <w:u w:val="none"/>
              </w:rPr>
              <w:t>服务款中扣除。出现不合格时，</w:t>
            </w:r>
            <w:r>
              <w:rPr>
                <w:rFonts w:hint="eastAsia" w:ascii="宋体" w:hAnsi="宋体" w:cs="宋体"/>
                <w:i w:val="0"/>
                <w:iCs w:val="0"/>
                <w:color w:val="auto"/>
                <w:sz w:val="24"/>
                <w:szCs w:val="24"/>
                <w:highlight w:val="none"/>
                <w:u w:val="none"/>
                <w:lang w:val="en-US" w:eastAsia="zh-CN"/>
              </w:rPr>
              <w:t>供应商</w:t>
            </w:r>
            <w:r>
              <w:rPr>
                <w:rFonts w:hint="eastAsia" w:ascii="宋体" w:hAnsi="宋体" w:eastAsia="宋体" w:cs="宋体"/>
                <w:i w:val="0"/>
                <w:iCs w:val="0"/>
                <w:color w:val="auto"/>
                <w:sz w:val="24"/>
                <w:szCs w:val="24"/>
                <w:highlight w:val="none"/>
                <w:u w:val="none"/>
              </w:rPr>
              <w:t>必须向采购人提交整改方案，连续两个月或年度内累计3次出现服务考核不合格的，或因供应商原因导致采购人各项检查未通过的，采购人有权单方终止本合同。</w:t>
            </w:r>
          </w:p>
        </w:tc>
      </w:tr>
    </w:tbl>
    <w:p w14:paraId="1B8521C9">
      <w:pPr>
        <w:pStyle w:val="15"/>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cs="宋体"/>
          <w:bCs/>
          <w:sz w:val="28"/>
          <w:szCs w:val="28"/>
          <w:highlight w:val="none"/>
          <w:lang w:val="en-US" w:eastAsia="zh-CN"/>
        </w:rPr>
        <w:sectPr>
          <w:pgSz w:w="11906" w:h="16838"/>
          <w:pgMar w:top="1418" w:right="1555" w:bottom="1418" w:left="1531" w:header="851" w:footer="992" w:gutter="0"/>
          <w:pgNumType w:fmt="decimal"/>
          <w:cols w:space="720" w:num="1"/>
          <w:titlePg/>
          <w:docGrid w:type="lines" w:linePitch="312" w:charSpace="0"/>
        </w:sectPr>
      </w:pPr>
    </w:p>
    <w:p w14:paraId="1FA154A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2025年10月-2027年10月法律顾问服务       </w:t>
      </w:r>
      <w:r>
        <w:rPr>
          <w:rFonts w:hint="eastAsia" w:ascii="宋体" w:hAnsi="宋体" w:eastAsia="宋体" w:cs="宋体"/>
          <w:sz w:val="28"/>
          <w:szCs w:val="28"/>
          <w:highlight w:val="none"/>
          <w:lang w:val="en-US" w:eastAsia="zh-CN"/>
        </w:rPr>
        <w:t>报价</w:t>
      </w:r>
      <w:r>
        <w:rPr>
          <w:rFonts w:hint="eastAsia" w:ascii="宋体" w:hAnsi="宋体" w:eastAsia="宋体" w:cs="宋体"/>
          <w:sz w:val="28"/>
          <w:szCs w:val="28"/>
          <w:highlight w:val="none"/>
        </w:rPr>
        <w:t>文件</w:t>
      </w:r>
    </w:p>
    <w:p w14:paraId="259F49CA">
      <w:pPr>
        <w:jc w:val="center"/>
        <w:rPr>
          <w:rFonts w:hint="eastAsia" w:ascii="宋体" w:hAnsi="宋体" w:eastAsia="宋体" w:cs="宋体"/>
          <w:sz w:val="28"/>
          <w:szCs w:val="28"/>
          <w:highlight w:val="none"/>
        </w:rPr>
      </w:pPr>
    </w:p>
    <w:p w14:paraId="711C440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（正本/副本）</w:t>
      </w:r>
    </w:p>
    <w:p w14:paraId="444F380B">
      <w:pPr>
        <w:jc w:val="center"/>
        <w:rPr>
          <w:rFonts w:hint="eastAsia" w:ascii="宋体" w:hAnsi="宋体" w:eastAsia="宋体" w:cs="宋体"/>
          <w:sz w:val="28"/>
          <w:szCs w:val="28"/>
          <w:highlight w:val="none"/>
        </w:rPr>
      </w:pPr>
    </w:p>
    <w:p w14:paraId="16A17CD5">
      <w:pPr>
        <w:jc w:val="center"/>
        <w:rPr>
          <w:rFonts w:hint="eastAsia" w:ascii="宋体" w:hAnsi="宋体" w:eastAsia="宋体" w:cs="宋体"/>
          <w:sz w:val="28"/>
          <w:szCs w:val="28"/>
          <w:highlight w:val="none"/>
        </w:rPr>
      </w:pPr>
    </w:p>
    <w:p w14:paraId="43344303">
      <w:pPr>
        <w:jc w:val="center"/>
        <w:rPr>
          <w:rFonts w:hint="eastAsia" w:ascii="宋体" w:hAnsi="宋体" w:eastAsia="宋体" w:cs="宋体"/>
          <w:sz w:val="28"/>
          <w:szCs w:val="28"/>
          <w:highlight w:val="none"/>
        </w:rPr>
      </w:pPr>
    </w:p>
    <w:p w14:paraId="419DCC30">
      <w:pPr>
        <w:jc w:val="center"/>
        <w:rPr>
          <w:rFonts w:hint="eastAsia" w:ascii="宋体" w:hAnsi="宋体" w:eastAsia="宋体" w:cs="宋体"/>
          <w:sz w:val="28"/>
          <w:szCs w:val="28"/>
          <w:highlight w:val="none"/>
        </w:rPr>
      </w:pPr>
    </w:p>
    <w:p w14:paraId="5525A0B5">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公司名称（盖章）：</w:t>
      </w:r>
    </w:p>
    <w:p w14:paraId="33AB1403">
      <w:pPr>
        <w:spacing w:line="360" w:lineRule="auto"/>
        <w:ind w:firstLine="1400" w:firstLineChars="5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联系人姓名：</w:t>
      </w:r>
    </w:p>
    <w:p w14:paraId="02EF109D">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w:t>
      </w:r>
      <w:r>
        <w:rPr>
          <w:rFonts w:hint="eastAsia" w:ascii="宋体" w:hAnsi="宋体" w:eastAsia="宋体" w:cs="宋体"/>
          <w:sz w:val="28"/>
          <w:szCs w:val="28"/>
          <w:highlight w:val="none"/>
        </w:rPr>
        <w:t>：</w:t>
      </w:r>
    </w:p>
    <w:p w14:paraId="611A2099">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邮寄地址：</w:t>
      </w:r>
    </w:p>
    <w:p w14:paraId="21F41C28">
      <w:pPr>
        <w:ind w:firstLine="1400" w:firstLineChars="500"/>
        <w:jc w:val="left"/>
        <w:rPr>
          <w:rFonts w:hint="default" w:ascii="宋体" w:hAnsi="宋体" w:eastAsia="宋体" w:cs="宋体"/>
          <w:sz w:val="28"/>
          <w:szCs w:val="28"/>
          <w:highlight w:val="none"/>
          <w:lang w:val="en-US" w:eastAsia="zh-CN"/>
        </w:rPr>
      </w:pPr>
    </w:p>
    <w:p w14:paraId="468DB6D4">
      <w:pPr>
        <w:jc w:val="center"/>
        <w:rPr>
          <w:rFonts w:hint="eastAsia" w:ascii="宋体" w:hAnsi="宋体" w:eastAsia="宋体" w:cs="宋体"/>
          <w:sz w:val="28"/>
          <w:szCs w:val="28"/>
          <w:highlight w:val="none"/>
        </w:rPr>
      </w:pPr>
    </w:p>
    <w:p w14:paraId="6F736794">
      <w:pPr>
        <w:jc w:val="center"/>
        <w:rPr>
          <w:rFonts w:hint="eastAsia" w:ascii="宋体" w:hAnsi="宋体" w:eastAsia="宋体" w:cs="宋体"/>
          <w:sz w:val="28"/>
          <w:szCs w:val="28"/>
          <w:highlight w:val="none"/>
        </w:rPr>
      </w:pPr>
    </w:p>
    <w:p w14:paraId="5F8CDE4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306968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CBC4EE1">
      <w:pPr>
        <w:spacing w:beforeLines="100" w:afterLines="1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14:paraId="17C01B15">
      <w:pPr>
        <w:spacing w:beforeLines="100" w:afterLines="100" w:line="480" w:lineRule="auto"/>
        <w:jc w:val="center"/>
        <w:rPr>
          <w:rFonts w:hint="eastAsia" w:ascii="宋体" w:hAnsi="宋体" w:eastAsia="宋体" w:cs="宋体"/>
          <w:strike/>
          <w:sz w:val="28"/>
          <w:szCs w:val="28"/>
          <w:highlight w:val="none"/>
        </w:rPr>
      </w:pPr>
      <w:r>
        <w:rPr>
          <w:rFonts w:hint="eastAsia" w:ascii="宋体" w:hAnsi="宋体" w:eastAsia="宋体" w:cs="宋体"/>
          <w:b/>
          <w:sz w:val="28"/>
          <w:szCs w:val="28"/>
          <w:highlight w:val="none"/>
        </w:rPr>
        <w:t>（应附有页码）</w:t>
      </w:r>
    </w:p>
    <w:p w14:paraId="20DCA570">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default" w:ascii="宋体" w:hAnsi="宋体" w:eastAsia="宋体" w:cs="宋体"/>
          <w:sz w:val="28"/>
          <w:szCs w:val="28"/>
          <w:highlight w:val="none"/>
          <w:lang w:val="en-US" w:eastAsia="zh-CN"/>
        </w:rPr>
        <w:t>声明函、公司直接控股股东信息表、公司直接管理关系信息表；</w:t>
      </w:r>
    </w:p>
    <w:p w14:paraId="1CFB5013">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default" w:ascii="宋体" w:hAnsi="宋体" w:eastAsia="宋体" w:cs="宋体"/>
          <w:sz w:val="28"/>
          <w:szCs w:val="28"/>
          <w:highlight w:val="none"/>
          <w:lang w:val="en-US" w:eastAsia="zh-CN"/>
        </w:rPr>
        <w:t>营业执照副本复印件加盖公章（要求清晰反映企业经营范围）、资质证书复印件加盖公章；</w:t>
      </w:r>
    </w:p>
    <w:p w14:paraId="7D4340DF">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default" w:ascii="宋体" w:hAnsi="宋体" w:eastAsia="宋体" w:cs="宋体"/>
          <w:sz w:val="28"/>
          <w:szCs w:val="28"/>
          <w:highlight w:val="none"/>
          <w:lang w:val="en-US" w:eastAsia="zh-CN"/>
        </w:rPr>
        <w:t>企业法人身份证复印件、授权委托书、被授权人身份证复印件；</w:t>
      </w:r>
    </w:p>
    <w:p w14:paraId="7AEFCBBE">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default" w:ascii="宋体" w:hAnsi="宋体" w:eastAsia="宋体" w:cs="宋体"/>
          <w:sz w:val="28"/>
          <w:szCs w:val="28"/>
          <w:highlight w:val="none"/>
          <w:lang w:val="en-US" w:eastAsia="zh-CN"/>
        </w:rPr>
        <w:t>响应表；</w:t>
      </w:r>
    </w:p>
    <w:p w14:paraId="1183AE87">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default" w:ascii="宋体" w:hAnsi="宋体" w:eastAsia="宋体" w:cs="宋体"/>
          <w:sz w:val="28"/>
          <w:szCs w:val="28"/>
          <w:highlight w:val="none"/>
          <w:lang w:val="en-US" w:eastAsia="zh-CN"/>
        </w:rPr>
        <w:t>报价单；</w:t>
      </w:r>
    </w:p>
    <w:p w14:paraId="4DC335A1">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default" w:ascii="宋体" w:hAnsi="宋体" w:eastAsia="宋体" w:cs="宋体"/>
          <w:sz w:val="28"/>
          <w:szCs w:val="28"/>
          <w:highlight w:val="none"/>
          <w:lang w:val="en-US" w:eastAsia="zh-CN"/>
        </w:rPr>
        <w:t>提供自2023年1月1日以来同类项目业绩至少三份（同类项目业绩指为党政机关、事业单位、医疗机构、国有企业等提供法律顾问服务的业绩，提供合同关键页、成交公告等证明材料）；</w:t>
      </w:r>
    </w:p>
    <w:p w14:paraId="47BEC109">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r>
        <w:rPr>
          <w:rFonts w:hint="default" w:ascii="宋体" w:hAnsi="宋体" w:eastAsia="宋体" w:cs="宋体"/>
          <w:sz w:val="28"/>
          <w:szCs w:val="28"/>
          <w:highlight w:val="none"/>
          <w:lang w:val="en-US" w:eastAsia="zh-CN"/>
        </w:rPr>
        <w:t>供应商认为需提供的其他材料（例如：服务方案、人员投入方案等）</w:t>
      </w:r>
    </w:p>
    <w:p w14:paraId="1D20A94E">
      <w:pPr>
        <w:pStyle w:val="10"/>
        <w:ind w:left="0" w:leftChars="0" w:firstLine="420" w:firstLineChars="0"/>
        <w:rPr>
          <w:rFonts w:hint="default" w:ascii="宋体" w:hAnsi="宋体" w:eastAsia="宋体" w:cs="宋体"/>
          <w:sz w:val="28"/>
          <w:szCs w:val="28"/>
          <w:highlight w:val="none"/>
          <w:lang w:val="en-US" w:eastAsia="zh-CN"/>
        </w:rPr>
      </w:pPr>
    </w:p>
    <w:p w14:paraId="3D7DD4E4">
      <w:pPr>
        <w:spacing w:line="360" w:lineRule="auto"/>
        <w:ind w:firstLine="42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备注：目录必须附上页码，若公司希望展示更多内容，请自行添加标题及页码，无页码将导致无法查阅，请知悉。</w:t>
      </w:r>
    </w:p>
    <w:p w14:paraId="7BA5F37A">
      <w:pPr>
        <w:snapToGrid w:val="0"/>
        <w:spacing w:before="50" w:afterLines="50"/>
        <w:jc w:val="center"/>
        <w:rPr>
          <w:rFonts w:hint="default"/>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highlight w:val="none"/>
        </w:rPr>
      </w:pPr>
    </w:p>
    <w:p w14:paraId="53995B07">
      <w:pPr>
        <w:snapToGrid w:val="0"/>
        <w:spacing w:before="50"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声明函</w:t>
      </w:r>
    </w:p>
    <w:p w14:paraId="2808314F">
      <w:pPr>
        <w:snapToGrid w:val="0"/>
        <w:spacing w:before="50" w:afterLines="50"/>
        <w:jc w:val="center"/>
        <w:rPr>
          <w:rFonts w:hint="eastAsia" w:ascii="宋体" w:hAnsi="宋体" w:eastAsia="宋体" w:cs="宋体"/>
          <w:b/>
          <w:color w:val="000000"/>
          <w:sz w:val="32"/>
          <w:szCs w:val="32"/>
          <w:highlight w:val="none"/>
        </w:rPr>
      </w:pPr>
    </w:p>
    <w:p w14:paraId="6A8485DC">
      <w:pPr>
        <w:tabs>
          <w:tab w:val="left" w:pos="720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致：_</w:t>
      </w:r>
      <w:r>
        <w:rPr>
          <w:rFonts w:hint="eastAsia" w:ascii="宋体" w:hAnsi="宋体" w:eastAsia="宋体" w:cs="宋体"/>
          <w:color w:val="000000"/>
          <w:szCs w:val="21"/>
          <w:highlight w:val="none"/>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我方愿意参加贵方组织的</w:t>
      </w:r>
      <w:r>
        <w:rPr>
          <w:rFonts w:hint="eastAsia" w:ascii="宋体" w:hAnsi="宋体" w:eastAsia="宋体" w:cs="宋体"/>
          <w:color w:val="000000"/>
          <w:szCs w:val="21"/>
          <w:highlight w:val="none"/>
          <w:u w:val="single"/>
        </w:rPr>
        <w:t>2025年10月-2027年10月法律顾问服务</w:t>
      </w:r>
      <w:r>
        <w:rPr>
          <w:rFonts w:hint="eastAsia" w:ascii="宋体" w:hAnsi="宋体" w:cs="宋体"/>
          <w:color w:val="000000"/>
          <w:szCs w:val="21"/>
          <w:highlight w:val="none"/>
          <w:u w:val="single"/>
          <w:lang w:val="en-US" w:eastAsia="zh-CN"/>
        </w:rPr>
        <w:t>项目</w:t>
      </w:r>
      <w:r>
        <w:rPr>
          <w:rFonts w:hint="eastAsia" w:ascii="宋体" w:hAnsi="宋体" w:eastAsia="宋体" w:cs="宋体"/>
          <w:color w:val="000000"/>
          <w:szCs w:val="21"/>
          <w:highlight w:val="none"/>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highlight w:val="none"/>
        </w:rPr>
        <w:t>采购信息后，与</w:t>
      </w:r>
      <w:bookmarkEnd w:id="0"/>
      <w:r>
        <w:rPr>
          <w:rFonts w:hint="eastAsia" w:ascii="宋体" w:hAnsi="宋体" w:eastAsia="宋体" w:cs="宋体"/>
          <w:color w:val="000000"/>
          <w:szCs w:val="21"/>
          <w:highlight w:val="none"/>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经查询，在“信用中国”和“中国政府采购网”网站我方未被列入失信被执行人、重大税收违法案件当事人名单、政府采购严重违法失信行为记录名单。</w:t>
      </w:r>
    </w:p>
    <w:p w14:paraId="56C36BA0">
      <w:pPr>
        <w:pStyle w:val="20"/>
        <w:ind w:left="0" w:leftChars="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3、我方有以下行为之一的，同意贵方将我方列入不良行为记录： </w:t>
      </w:r>
    </w:p>
    <w:p w14:paraId="0693D700">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提供虚假材料谋取中标、成交的。 </w:t>
      </w:r>
    </w:p>
    <w:p w14:paraId="0CB6D45D">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采取不正当手段诋毁、排挤其他供应商的。 </w:t>
      </w:r>
    </w:p>
    <w:p w14:paraId="545DC1D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与我院工作人员、其他供应商或者招标代理机构恶意串通的。 </w:t>
      </w:r>
    </w:p>
    <w:p w14:paraId="1EF0C4CC">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向我院工作人员、招标代理机构行贿或者提供其他不正当利益的。 </w:t>
      </w:r>
    </w:p>
    <w:p w14:paraId="128249E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在招标采购过程中与采购人进行协商谈判的。 </w:t>
      </w:r>
    </w:p>
    <w:p w14:paraId="779C601F">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拒绝有关部门监督检查或者提供虚假情况的。 </w:t>
      </w:r>
    </w:p>
    <w:p w14:paraId="10CBAD2C">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供应商向评标委员会、竞争性谈判小组或者询价小组成员行贿或者提供其他不正当利益。 </w:t>
      </w:r>
    </w:p>
    <w:p w14:paraId="619FFDC0">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中标或者成交后无正当理由拒不与我院签订采购合同。 </w:t>
      </w:r>
    </w:p>
    <w:p w14:paraId="24CDB20A">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供应商将采购合同分包、转包（采购合同未禁止分包、 转包的除外）。 </w:t>
      </w:r>
    </w:p>
    <w:p w14:paraId="0D8A3F1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供应商提供假冒伪劣产品。 </w:t>
      </w:r>
    </w:p>
    <w:p w14:paraId="46947544">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供应商捏造事实、提供虚假材料或者以非法手段取得证明材料进行投诉的。 </w:t>
      </w:r>
    </w:p>
    <w:p w14:paraId="5FA8C728">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供应商擅自变更、中止或者终止采购合同。 </w:t>
      </w:r>
    </w:p>
    <w:p w14:paraId="260D1D1B">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供应商直接或者间接从我院工作人员或者采购代理机构处获得其他供应商的相关情况并修改其投标文件或者响应文件。 </w:t>
      </w:r>
    </w:p>
    <w:p w14:paraId="60295EB4">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供应商按照我院或者采购代理机构的授意撤换、修改投标文件或者响应文件。 </w:t>
      </w:r>
    </w:p>
    <w:p w14:paraId="27CBAEB5">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供应商之间协商报价、技术方案等投标文件或者响应文件的实质性内容。 </w:t>
      </w:r>
    </w:p>
    <w:p w14:paraId="7187112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属于同一集团、协会、商会等组织成员的供应商按照该组织要求协同参加采购活动。 </w:t>
      </w:r>
    </w:p>
    <w:p w14:paraId="79F2E0FD">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供应商之间事先约定由某一特定供应商中标、成交。 </w:t>
      </w:r>
    </w:p>
    <w:p w14:paraId="6FF2890A">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供应商之间商定部分供应商放弃参加采购活动或者放弃中标、成交。 </w:t>
      </w:r>
    </w:p>
    <w:p w14:paraId="0738FC9D">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供应商与我院或者采购代理机构之间、供应商相互之间，为谋求特定供应商中标、成交或者排斥其他供应商的其他串通行为。 </w:t>
      </w:r>
    </w:p>
    <w:p w14:paraId="720ACFC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在购销活动中给予医务人员“红包”“回扣”“提成” 或任何形式的不当利益的。 </w:t>
      </w:r>
    </w:p>
    <w:p w14:paraId="6A68A25E">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所经销的货物质量有问题，且不积极配合医院相关部门处理的。 </w:t>
      </w:r>
    </w:p>
    <w:p w14:paraId="5ECE5BB0">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违法广告宣传、促销、误导消费等不良行为的。 </w:t>
      </w:r>
    </w:p>
    <w:p w14:paraId="24B66E1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不按约定时间配送药品、医疗器械、耗材，尤其是急救类用品，影响临床正常使用的。 </w:t>
      </w:r>
    </w:p>
    <w:p w14:paraId="1236609B">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在购销活动中不遵守保密规定、未经医院同意擅自将医院药品、医疗器械、耗材数据信息披露的。 </w:t>
      </w:r>
    </w:p>
    <w:p w14:paraId="4A91559A">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药品价格变动未及时向医院书面反馈，给医院或患者造成损失的。 </w:t>
      </w:r>
    </w:p>
    <w:p w14:paraId="1AD73987">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传播虚假信息，严重干扰医院正常工作程序，造成恶劣影响的。 </w:t>
      </w:r>
    </w:p>
    <w:p w14:paraId="0F540B2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供应商与厂家恶意串通，故意提高药品、医疗器械、耗材供应价格的。 </w:t>
      </w:r>
    </w:p>
    <w:p w14:paraId="4DA8FF36">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 xml:space="preserve"> </w:t>
      </w:r>
      <w:r>
        <w:rPr>
          <w:rFonts w:hint="eastAsia" w:ascii="宋体" w:hAnsi="宋体" w:eastAsia="宋体" w:cs="宋体"/>
          <w:color w:val="000000"/>
          <w:kern w:val="2"/>
          <w:sz w:val="21"/>
          <w:szCs w:val="21"/>
          <w:highlight w:val="none"/>
          <w:lang w:val="zh-CN" w:eastAsia="zh-CN" w:bidi="ar-SA"/>
        </w:rPr>
        <w:t>供应商名称(公章)：</w:t>
      </w:r>
      <w:r>
        <w:rPr>
          <w:rFonts w:hint="eastAsia" w:ascii="宋体" w:hAnsi="宋体" w:eastAsia="宋体" w:cs="宋体"/>
          <w:color w:val="000000"/>
          <w:szCs w:val="21"/>
          <w:highlight w:val="none"/>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000000"/>
          <w:kern w:val="0"/>
          <w:sz w:val="32"/>
          <w:szCs w:val="32"/>
          <w:highlight w:val="none"/>
        </w:rPr>
        <w:t>公司直接控股股东信息表</w:t>
      </w:r>
    </w:p>
    <w:tbl>
      <w:tblPr>
        <w:tblStyle w:val="21"/>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62352BFF">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highlight w:val="none"/>
              </w:rPr>
            </w:pPr>
          </w:p>
        </w:tc>
      </w:tr>
      <w:tr w14:paraId="4B4E8C9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highlight w:val="none"/>
              </w:rPr>
            </w:pPr>
          </w:p>
        </w:tc>
      </w:tr>
      <w:tr w14:paraId="0B4351F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highlight w:val="none"/>
              </w:rPr>
            </w:pPr>
          </w:p>
        </w:tc>
      </w:tr>
      <w:tr w14:paraId="39778110">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highlight w:val="none"/>
              </w:rPr>
            </w:pPr>
          </w:p>
        </w:tc>
      </w:tr>
    </w:tbl>
    <w:p w14:paraId="7452F84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86371CB">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1" w:name="OLE_LINK4"/>
      <w:r>
        <w:rPr>
          <w:rFonts w:hint="eastAsia" w:ascii="宋体" w:hAnsi="宋体" w:eastAsia="宋体" w:cs="宋体"/>
          <w:color w:val="000000"/>
          <w:sz w:val="24"/>
          <w:highlight w:val="none"/>
        </w:rPr>
        <w:t>产生重大影响的</w:t>
      </w:r>
      <w:bookmarkEnd w:id="1"/>
      <w:r>
        <w:rPr>
          <w:rFonts w:hint="eastAsia" w:ascii="宋体" w:hAnsi="宋体" w:eastAsia="宋体" w:cs="宋体"/>
          <w:color w:val="000000"/>
          <w:sz w:val="24"/>
          <w:highlight w:val="none"/>
        </w:rPr>
        <w:t>股东。</w:t>
      </w:r>
    </w:p>
    <w:p w14:paraId="41D1AC9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w:t>
      </w:r>
      <w:bookmarkStart w:id="2" w:name="OLE_LINK30"/>
      <w:r>
        <w:rPr>
          <w:rFonts w:hint="eastAsia" w:ascii="宋体" w:hAnsi="宋体" w:eastAsia="宋体" w:cs="宋体"/>
          <w:color w:val="000000"/>
          <w:sz w:val="24"/>
          <w:highlight w:val="none"/>
        </w:rPr>
        <w:t>的，则</w:t>
      </w:r>
      <w:bookmarkEnd w:id="2"/>
      <w:r>
        <w:rPr>
          <w:rFonts w:hint="eastAsia" w:ascii="宋体" w:hAnsi="宋体" w:eastAsia="宋体" w:cs="宋体"/>
          <w:color w:val="000000"/>
          <w:sz w:val="24"/>
          <w:highlight w:val="none"/>
        </w:rPr>
        <w:t>填“无”。</w:t>
      </w:r>
    </w:p>
    <w:p w14:paraId="67712F13">
      <w:pPr>
        <w:snapToGrid w:val="0"/>
        <w:spacing w:line="360" w:lineRule="auto"/>
        <w:jc w:val="left"/>
        <w:rPr>
          <w:rFonts w:ascii="宋体" w:hAnsi="宋体" w:cs="宋体"/>
          <w:color w:val="000000"/>
          <w:sz w:val="24"/>
          <w:highlight w:val="none"/>
        </w:rPr>
      </w:pPr>
    </w:p>
    <w:p w14:paraId="1B93711F">
      <w:pPr>
        <w:snapToGrid w:val="0"/>
        <w:spacing w:line="360" w:lineRule="auto"/>
        <w:jc w:val="left"/>
        <w:rPr>
          <w:rFonts w:ascii="宋体" w:hAnsi="宋体" w:cs="宋体"/>
          <w:color w:val="000000"/>
          <w:sz w:val="24"/>
          <w:highlight w:val="none"/>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42BE0E91">
      <w:pPr>
        <w:spacing w:line="360" w:lineRule="auto"/>
        <w:ind w:firstLine="6300" w:firstLineChars="30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B536D18">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Cs w:val="21"/>
          <w:highlight w:val="none"/>
        </w:rPr>
        <w:br w:type="page"/>
      </w:r>
      <w:r>
        <w:rPr>
          <w:rFonts w:hint="eastAsia" w:ascii="宋体" w:hAnsi="宋体" w:eastAsia="宋体" w:cs="宋体"/>
          <w:b/>
          <w:color w:val="000000"/>
          <w:sz w:val="32"/>
          <w:szCs w:val="32"/>
          <w:highlight w:val="none"/>
        </w:rPr>
        <w:t>公司直接管理关系信息表</w:t>
      </w:r>
    </w:p>
    <w:tbl>
      <w:tblPr>
        <w:tblStyle w:val="21"/>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highlight w:val="none"/>
              </w:rPr>
            </w:pPr>
          </w:p>
        </w:tc>
      </w:tr>
      <w:tr w14:paraId="6644BE00">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highlight w:val="none"/>
              </w:rPr>
            </w:pPr>
          </w:p>
        </w:tc>
      </w:tr>
      <w:tr w14:paraId="164D99AC">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highlight w:val="none"/>
              </w:rPr>
            </w:pPr>
          </w:p>
        </w:tc>
      </w:tr>
      <w:tr w14:paraId="19B868A8">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highlight w:val="none"/>
              </w:rPr>
            </w:pPr>
          </w:p>
        </w:tc>
      </w:tr>
    </w:tbl>
    <w:p w14:paraId="58F6EEF5">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BAC17A9">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w:t>
      </w:r>
      <w:bookmarkStart w:id="3" w:name="OLE_LINK13"/>
      <w:r>
        <w:rPr>
          <w:rFonts w:hint="eastAsia" w:ascii="宋体" w:hAnsi="宋体" w:eastAsia="宋体" w:cs="宋体"/>
          <w:color w:val="000000"/>
          <w:sz w:val="24"/>
          <w:highlight w:val="none"/>
        </w:rPr>
        <w:t>有出资持股</w:t>
      </w:r>
      <w:bookmarkEnd w:id="3"/>
      <w:r>
        <w:rPr>
          <w:rFonts w:hint="eastAsia" w:ascii="宋体" w:hAnsi="宋体" w:eastAsia="宋体" w:cs="宋体"/>
          <w:color w:val="000000"/>
          <w:sz w:val="24"/>
          <w:highlight w:val="none"/>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07675A90">
      <w:pPr>
        <w:snapToGrid w:val="0"/>
        <w:spacing w:line="360" w:lineRule="auto"/>
        <w:jc w:val="left"/>
        <w:rPr>
          <w:rFonts w:hint="eastAsia" w:ascii="宋体" w:hAnsi="宋体" w:eastAsia="宋体" w:cs="宋体"/>
          <w:color w:val="000000"/>
          <w:sz w:val="24"/>
          <w:highlight w:val="none"/>
        </w:rPr>
      </w:pPr>
    </w:p>
    <w:p w14:paraId="191EC88A">
      <w:pPr>
        <w:snapToGrid w:val="0"/>
        <w:spacing w:line="360" w:lineRule="auto"/>
        <w:jc w:val="left"/>
        <w:rPr>
          <w:rFonts w:hint="eastAsia" w:ascii="宋体" w:hAnsi="宋体" w:eastAsia="宋体" w:cs="宋体"/>
          <w:color w:val="000000"/>
          <w:sz w:val="24"/>
          <w:highlight w:val="none"/>
        </w:rPr>
      </w:pPr>
    </w:p>
    <w:p w14:paraId="1F278E50">
      <w:pPr>
        <w:snapToGrid w:val="0"/>
        <w:spacing w:before="50" w:afterLines="100" w:line="360" w:lineRule="auto"/>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1AC11673">
      <w:pPr>
        <w:snapToGrid w:val="0"/>
        <w:spacing w:before="50" w:afterLines="5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4FB3C05">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2、</w:t>
      </w:r>
      <w:r>
        <w:rPr>
          <w:rFonts w:hint="eastAsia" w:ascii="宋体" w:hAnsi="宋体" w:eastAsia="宋体" w:cs="宋体"/>
          <w:b/>
          <w:bCs/>
          <w:sz w:val="28"/>
          <w:szCs w:val="28"/>
          <w:highlight w:val="none"/>
          <w:lang w:val="en-US" w:eastAsia="zh-CN"/>
        </w:rPr>
        <w:t>营业执照副本复印件加盖公章（要求清晰反映企业经营范围）、资质证书复印件加盖公章；</w:t>
      </w:r>
    </w:p>
    <w:p w14:paraId="070F15AA">
      <w:pPr>
        <w:numPr>
          <w:ilvl w:val="0"/>
          <w:numId w:val="0"/>
        </w:numPr>
        <w:snapToGrid w:val="0"/>
        <w:spacing w:before="50" w:afterLines="50"/>
        <w:ind w:leftChars="0"/>
        <w:jc w:val="both"/>
        <w:rPr>
          <w:rFonts w:hint="eastAsia" w:ascii="宋体" w:hAnsi="宋体" w:eastAsia="宋体" w:cs="宋体"/>
          <w:b/>
          <w:bCs/>
          <w:sz w:val="28"/>
          <w:szCs w:val="28"/>
          <w:highlight w:val="none"/>
          <w:lang w:val="en-US" w:eastAsia="zh-CN"/>
        </w:rPr>
      </w:pPr>
    </w:p>
    <w:p w14:paraId="75A34414">
      <w:pPr>
        <w:snapToGrid w:val="0"/>
        <w:spacing w:before="50" w:afterLines="50"/>
        <w:jc w:val="center"/>
        <w:rPr>
          <w:rFonts w:hint="eastAsia" w:ascii="宋体" w:hAnsi="宋体" w:eastAsia="宋体" w:cs="宋体"/>
          <w:b/>
          <w:bCs/>
          <w:sz w:val="28"/>
          <w:szCs w:val="28"/>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highlight w:val="none"/>
          <w:lang w:val="en-US" w:eastAsia="zh-CN"/>
        </w:rPr>
        <w:t>3、企业法人身份证复印件、授权委托书、被授权人身份证复印件；</w:t>
      </w:r>
    </w:p>
    <w:p w14:paraId="2B1FFBEE">
      <w:pPr>
        <w:pStyle w:val="2"/>
        <w:adjustRightInd/>
        <w:spacing w:line="240" w:lineRule="auto"/>
        <w:ind w:left="0" w:leftChars="0" w:right="0" w:right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4、响应表</w:t>
      </w:r>
    </w:p>
    <w:tbl>
      <w:tblPr>
        <w:tblStyle w:val="21"/>
        <w:tblpPr w:leftFromText="180" w:rightFromText="180" w:vertAnchor="text" w:horzAnchor="page" w:tblpX="1585" w:tblpY="574"/>
        <w:tblOverlap w:val="never"/>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1014"/>
        <w:gridCol w:w="1112"/>
        <w:gridCol w:w="6825"/>
        <w:gridCol w:w="2375"/>
        <w:gridCol w:w="2401"/>
      </w:tblGrid>
      <w:tr w14:paraId="3B50E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2C7C41E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供应商资格要求</w:t>
            </w:r>
          </w:p>
        </w:tc>
        <w:tc>
          <w:tcPr>
            <w:tcW w:w="838" w:type="pct"/>
            <w:tcBorders>
              <w:top w:val="single" w:color="auto" w:sz="4" w:space="0"/>
              <w:left w:val="single" w:color="auto" w:sz="4" w:space="0"/>
              <w:bottom w:val="single" w:color="auto" w:sz="4" w:space="0"/>
              <w:right w:val="single" w:color="auto" w:sz="4" w:space="0"/>
            </w:tcBorders>
            <w:vAlign w:val="center"/>
          </w:tcPr>
          <w:p w14:paraId="7947EC6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5539C9AF">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47B63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5EDF3271">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1、满足《中华人民共和国政府采购法》第二十二条规定；</w:t>
            </w:r>
          </w:p>
          <w:p w14:paraId="0F90F5FA">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2、本项目的特定资格要求：</w:t>
            </w:r>
          </w:p>
          <w:p w14:paraId="58BD3E4C">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2.1具有有效的律师事务所执业许可证；</w:t>
            </w:r>
          </w:p>
          <w:p w14:paraId="581DA0AD">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2.2拟投入本服务项目的负责人具有律师执业证；</w:t>
            </w:r>
          </w:p>
          <w:p w14:paraId="3F6533F9">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2.3供应商（含项目团队成员）近三年内未受到司法行政主管部门的行政处罚或律师行业协会的处分。</w:t>
            </w:r>
          </w:p>
          <w:p w14:paraId="7647D64E">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6B94BB6">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419F5C44">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5、本项目不接受联合体参与。</w:t>
            </w:r>
          </w:p>
        </w:tc>
        <w:tc>
          <w:tcPr>
            <w:tcW w:w="838" w:type="pct"/>
            <w:tcBorders>
              <w:top w:val="single" w:color="auto" w:sz="4" w:space="0"/>
              <w:left w:val="single" w:color="auto" w:sz="4" w:space="0"/>
              <w:bottom w:val="single" w:color="auto" w:sz="4" w:space="0"/>
              <w:right w:val="single" w:color="auto" w:sz="4" w:space="0"/>
            </w:tcBorders>
            <w:vAlign w:val="center"/>
          </w:tcPr>
          <w:p w14:paraId="70A9D598">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81EEC5C">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p>
        </w:tc>
      </w:tr>
      <w:tr w14:paraId="275E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507DF3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采购需求</w:t>
            </w:r>
          </w:p>
        </w:tc>
      </w:tr>
      <w:tr w14:paraId="1E4E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D620BB9">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一、项目需求及技术要求</w:t>
            </w:r>
          </w:p>
        </w:tc>
      </w:tr>
      <w:tr w14:paraId="163EB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3" w:type="pct"/>
            <w:tcBorders>
              <w:top w:val="single" w:color="auto" w:sz="4" w:space="0"/>
              <w:left w:val="single" w:color="auto" w:sz="4" w:space="0"/>
              <w:bottom w:val="single" w:color="auto" w:sz="4" w:space="0"/>
              <w:right w:val="single" w:color="auto" w:sz="4" w:space="0"/>
            </w:tcBorders>
            <w:vAlign w:val="center"/>
          </w:tcPr>
          <w:p w14:paraId="5D113E1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357" w:type="pct"/>
            <w:tcBorders>
              <w:top w:val="single" w:color="auto" w:sz="4" w:space="0"/>
              <w:left w:val="single" w:color="auto" w:sz="4" w:space="0"/>
              <w:bottom w:val="single" w:color="auto" w:sz="4" w:space="0"/>
              <w:right w:val="single" w:color="auto" w:sz="4" w:space="0"/>
            </w:tcBorders>
            <w:vAlign w:val="center"/>
          </w:tcPr>
          <w:p w14:paraId="6DFA82D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标的名称</w:t>
            </w:r>
          </w:p>
        </w:tc>
        <w:tc>
          <w:tcPr>
            <w:tcW w:w="392" w:type="pct"/>
            <w:tcBorders>
              <w:top w:val="single" w:color="auto" w:sz="4" w:space="0"/>
              <w:left w:val="single" w:color="auto" w:sz="4" w:space="0"/>
              <w:bottom w:val="single" w:color="auto" w:sz="4" w:space="0"/>
              <w:right w:val="single" w:color="auto" w:sz="4" w:space="0"/>
            </w:tcBorders>
            <w:vAlign w:val="center"/>
          </w:tcPr>
          <w:p w14:paraId="63F23B9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数量</w:t>
            </w:r>
          </w:p>
        </w:tc>
        <w:tc>
          <w:tcPr>
            <w:tcW w:w="2409" w:type="pct"/>
            <w:tcBorders>
              <w:top w:val="single" w:color="auto" w:sz="4" w:space="0"/>
              <w:left w:val="single" w:color="auto" w:sz="4" w:space="0"/>
              <w:bottom w:val="single" w:color="auto" w:sz="4" w:space="0"/>
              <w:right w:val="single" w:color="auto" w:sz="4" w:space="0"/>
            </w:tcBorders>
            <w:vAlign w:val="center"/>
          </w:tcPr>
          <w:p w14:paraId="3EBD8E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参数</w:t>
            </w:r>
            <w:r>
              <w:rPr>
                <w:rFonts w:hint="eastAsia" w:ascii="宋体" w:hAnsi="宋体" w:eastAsia="宋体" w:cs="宋体"/>
                <w:b/>
                <w:color w:val="000000" w:themeColor="text1"/>
                <w:sz w:val="22"/>
                <w:szCs w:val="22"/>
                <w:highlight w:val="none"/>
                <w14:textFill>
                  <w14:solidFill>
                    <w14:schemeClr w14:val="tx1"/>
                  </w14:solidFill>
                </w14:textFill>
              </w:rPr>
              <w:t>及要求</w:t>
            </w:r>
          </w:p>
        </w:tc>
        <w:tc>
          <w:tcPr>
            <w:tcW w:w="838" w:type="pct"/>
            <w:tcBorders>
              <w:top w:val="single" w:color="auto" w:sz="4" w:space="0"/>
              <w:left w:val="single" w:color="auto" w:sz="4" w:space="0"/>
              <w:bottom w:val="single" w:color="auto" w:sz="4" w:space="0"/>
              <w:right w:val="single" w:color="auto" w:sz="4" w:space="0"/>
            </w:tcBorders>
            <w:vAlign w:val="center"/>
          </w:tcPr>
          <w:p w14:paraId="37D5238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45338AEC">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0659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3" w:type="pct"/>
            <w:tcBorders>
              <w:top w:val="single" w:color="auto" w:sz="4" w:space="0"/>
              <w:left w:val="single" w:color="auto" w:sz="4" w:space="0"/>
              <w:bottom w:val="single" w:color="auto" w:sz="4" w:space="0"/>
              <w:right w:val="single" w:color="auto" w:sz="4" w:space="0"/>
            </w:tcBorders>
            <w:vAlign w:val="center"/>
          </w:tcPr>
          <w:p w14:paraId="6D6FC7A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1</w:t>
            </w:r>
          </w:p>
        </w:tc>
        <w:tc>
          <w:tcPr>
            <w:tcW w:w="357" w:type="pct"/>
            <w:tcBorders>
              <w:top w:val="single" w:color="auto" w:sz="4" w:space="0"/>
              <w:left w:val="single" w:color="auto" w:sz="4" w:space="0"/>
              <w:bottom w:val="single" w:color="auto" w:sz="4" w:space="0"/>
              <w:right w:val="single" w:color="auto" w:sz="4" w:space="0"/>
            </w:tcBorders>
            <w:vAlign w:val="center"/>
          </w:tcPr>
          <w:p w14:paraId="63CF6A4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rPr>
              <w:t>2025年10月-2027年10月法律顾问服务</w:t>
            </w:r>
          </w:p>
        </w:tc>
        <w:tc>
          <w:tcPr>
            <w:tcW w:w="392" w:type="pct"/>
            <w:tcBorders>
              <w:top w:val="single" w:color="auto" w:sz="4" w:space="0"/>
              <w:left w:val="single" w:color="auto" w:sz="4" w:space="0"/>
              <w:bottom w:val="single" w:color="auto" w:sz="4" w:space="0"/>
              <w:right w:val="single" w:color="auto" w:sz="4" w:space="0"/>
            </w:tcBorders>
            <w:vAlign w:val="center"/>
          </w:tcPr>
          <w:p w14:paraId="5BF24CF3">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2年</w:t>
            </w:r>
          </w:p>
        </w:tc>
        <w:tc>
          <w:tcPr>
            <w:tcW w:w="2409" w:type="pct"/>
            <w:tcBorders>
              <w:top w:val="single" w:color="auto" w:sz="4" w:space="0"/>
              <w:left w:val="single" w:color="auto" w:sz="4" w:space="0"/>
              <w:bottom w:val="single" w:color="auto" w:sz="4" w:space="0"/>
              <w:right w:val="single" w:color="auto" w:sz="4" w:space="0"/>
            </w:tcBorders>
            <w:vAlign w:val="center"/>
          </w:tcPr>
          <w:p w14:paraId="62036730">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项目概况：采购常规法律服务和代理涉诉案件法律服务项目，并实行包干制，法律服务包括：（1）常规法律服务（法律顾问）；（2）代理涉诉案件法律服务：受广西医科大学第一附属医院委托，代理广西医科大学第一附属医院的涉诉案件。（3）其他法律服务。</w:t>
            </w:r>
          </w:p>
          <w:p w14:paraId="4D85E60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▲一、常规法律服务要求</w:t>
            </w:r>
          </w:p>
          <w:p w14:paraId="24B2735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(1)应采购人的要求，向采购人的各部门提供国家有关法律法规信息，对生产、经营、管理等方面的重大决策从法律上进行论证并提供法律意见和法律依据，应采购人要求出具书面意见。</w:t>
            </w:r>
          </w:p>
          <w:p w14:paraId="4248A74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采购人各部门起草或者拟发布的采购文件、采购项目质疑和投诉答复材料、规章制度、文件材料或草拟的各类合同，从法律方面提出修改和补充建议，拟定、补充、完善商务条款、法律条款，应采购人要求出具书面意见。</w:t>
            </w:r>
          </w:p>
          <w:p w14:paraId="3759C78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(3)参与处理涉及采购人尚未形成诉讼的民事纠纷、经济纠纷、行政纠纷、劳动人事争议和其他纠纷，提出调解方案，应采购人要求代表采购人进行调解或者参与调解活动；</w:t>
            </w:r>
          </w:p>
          <w:p w14:paraId="74A9ED1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(4)应采购人要求，对采购人工作人员进行法律方面的业务培训，协助采购人进行法治宣传教育；</w:t>
            </w:r>
          </w:p>
          <w:p w14:paraId="615CBD4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(5)应采购人要求参与处理临时性的突发事件，办理涉诉案件；</w:t>
            </w:r>
          </w:p>
          <w:p w14:paraId="57CD739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(6)应采购人要求办理强制执行等法律事务；</w:t>
            </w:r>
          </w:p>
          <w:p w14:paraId="2977C59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（7）根据医院的需要对外签发律师函；</w:t>
            </w:r>
          </w:p>
          <w:p w14:paraId="348101B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（8）提供数据合规法律服务，如为采购人数据出境、人类遗传资源出境安全审查、评估提供法律服务；</w:t>
            </w:r>
          </w:p>
          <w:p w14:paraId="7B6EB7A5">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提供科研项目管理、科研成果转化、科研合同审查等知识产权法律服务；</w:t>
            </w:r>
          </w:p>
          <w:p w14:paraId="23FC996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双方协商确定的其他常规法律服务。</w:t>
            </w:r>
          </w:p>
          <w:p w14:paraId="1BCEB27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▲二、医务相关法律事务服务要求</w:t>
            </w:r>
          </w:p>
          <w:p w14:paraId="490BA9D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（1）应采购人的要求，为病历资料的管理、重要材料的书写、医患沟通证据收集给予指导并提出法律意见，防止发生医疗纠纷时医院举证不能；</w:t>
            </w:r>
          </w:p>
          <w:p w14:paraId="7B41DB5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（2）应采购人的要求，为采购人提供医疗损害投诉及纠纷处理法律事务，以及追索患者欠费法律服务；</w:t>
            </w:r>
          </w:p>
          <w:p w14:paraId="4F53DDC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应采购人的要求，准备医疗损害纠纷调解、鉴定所需的证据材料，撰写纠纷陈述意见，参与医疗损害纠纷的现场调解，如：医调会调解，必要时负责与患者或家属进行及时的沟通谈话，对患者投诉的问题进行适当的解释，对处理经过的关键环节进行书面记录，引导患者或家属通过合理、合法途径解决医疗纠纷；</w:t>
            </w:r>
          </w:p>
          <w:p w14:paraId="580B6B9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（4）参与鉴定前院内讨论，准备鉴定答辩材料，代理采购人参与医学鉴定、司法鉴定；</w:t>
            </w:r>
          </w:p>
          <w:p w14:paraId="55C71EC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（5）在全国范围内代理采购人参与医疗损害、医疗事故争议诉讼；</w:t>
            </w:r>
          </w:p>
          <w:p w14:paraId="5F163501">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（6）对于已签订调解协议书的医疗纠纷，经与医院协商后，代表医院完成司法确认工作，包括医院资料的准备、通知患方准备材料、与患者、法官预约司法确认时间和手续，代理医院完成司法确认书的签订。</w:t>
            </w:r>
          </w:p>
          <w:p w14:paraId="6BE6BB8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（7）应采购人要求，负责院内各科室的律师见证和法律查房工作。</w:t>
            </w:r>
          </w:p>
          <w:p w14:paraId="45AD7511">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（8）参与采购人组织的医疗纠纷内部讨论会，从法律方面提出争议处理的方案、意见；</w:t>
            </w:r>
          </w:p>
          <w:p w14:paraId="18CEF89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（9）应采购人要求，参加死亡病例讨论、月度工作会议、伦理委员会会议等可能涉及法律问题处理的会议；</w:t>
            </w:r>
          </w:p>
          <w:p w14:paraId="4C0AEA3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（10）协助主管医师与患者或家属进行病情及治疗措施的告知，参加术前谈话，为医院完善临床试验、临床研究、诊疗服务知情告知制度提供专业法律服务；</w:t>
            </w:r>
          </w:p>
          <w:p w14:paraId="0F2EF78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（11）应采购人要求，对采购人与卫生行政主管部门工作联系中涉及的重大问题，适时提出法律意见；</w:t>
            </w:r>
          </w:p>
          <w:p w14:paraId="07D9077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（12）发生医疗纠纷时，应采购人要求，协助采购人与卫生行政管理部门进行工作联系、沟通协调，代表采购人参与医疗纠纷的行政处理，提供法律意见；</w:t>
            </w:r>
          </w:p>
          <w:p w14:paraId="10C0218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（13）需要法律顾问参加的其他涉及医务管理相关法律事务。</w:t>
            </w:r>
          </w:p>
          <w:p w14:paraId="03119F0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▲三、涉诉案件法律服务要求</w:t>
            </w:r>
          </w:p>
          <w:p w14:paraId="61C9532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受采购人委托，完成案件答辩状、代理词、证据目录、质证意见、起（反）诉状、鉴定陈述答辩意见等法律文书，代理采购人的民事、行政诉讼或仲裁等涉诉案件，负责收集、整理、装订有关证据材料，并出庭应诉；</w:t>
            </w:r>
          </w:p>
          <w:p w14:paraId="22FA4EA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(2)双方协商确定的其他涉诉案件法律服务。</w:t>
            </w:r>
          </w:p>
          <w:p w14:paraId="7B906DD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▲四、服务要求</w:t>
            </w:r>
          </w:p>
          <w:p w14:paraId="22C8CF3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供应商应为本项目成立不少于7人的项目团队，其中：具有律师资格证书的成员6人，法律服务辅助人员1人。法律服务辅助人员要求：20-35岁之间，大专以上（含大专）文化程度，身体健康，有较强的事业心、责任感，仪表得体，举止端庄，谈吐文明。</w:t>
            </w:r>
          </w:p>
          <w:p w14:paraId="7BDCA18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于采购人提出的合法性审查要求或者法律咨询，应当在3个工作日内出具书面法律意见、予以答复；对于采购人认为不立即处理将损害医院利益的法律事务，应当在采购人指定的期限内按采购人指定的形式予以处理。</w:t>
            </w:r>
          </w:p>
          <w:p w14:paraId="762E40C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3.供应商应指定1名联系人，长期保持通讯畅通，满足7*24 小时*365天要求。在项目合同执行期间未经采购人书面同意不得随意调换为采购人提供法律服务的律师。如果采购人要求更换律师，投标人应积极配合，在采购人要求的时间内予以更换。</w:t>
            </w:r>
          </w:p>
          <w:p w14:paraId="48E8AEE7">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4.相关法律事务如需晤面处理，供应商律师应按时前往采购人指定的地点。</w:t>
            </w:r>
          </w:p>
          <w:p w14:paraId="7939443F">
            <w:pPr>
              <w:spacing w:line="360" w:lineRule="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5.供应商对在工作中接触、了解到的采购人业务秘密，负有保密责任。</w:t>
            </w:r>
          </w:p>
          <w:p w14:paraId="7725EEBF">
            <w:pPr>
              <w:pStyle w:val="2"/>
              <w:spacing w:line="360" w:lineRule="auto"/>
              <w:ind w:right="63" w:rightChars="30"/>
              <w:jc w:val="lef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采购人每月对供应商进行考核（详见附件1），考核结果分为：合格与不合格。满分为100分，90分以上（含90分）为合格；90分以下为不合格。出现不合格时，每降低5分扣款2000元，考核涉及的所有扣款，均在当年服务款中扣除。出现不合格时，</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必须向采购人提交整改方案，连续两个月或年度内累计3次出现服务考核不合格的，或因供应商原因导致采购人各项检查未通过的，采购人有权单方终止本合同。</w:t>
            </w:r>
          </w:p>
        </w:tc>
        <w:tc>
          <w:tcPr>
            <w:tcW w:w="838" w:type="pct"/>
            <w:tcBorders>
              <w:top w:val="single" w:color="auto" w:sz="4" w:space="0"/>
              <w:left w:val="single" w:color="auto" w:sz="4" w:space="0"/>
              <w:bottom w:val="single" w:color="auto" w:sz="4" w:space="0"/>
              <w:right w:val="single" w:color="auto" w:sz="4" w:space="0"/>
            </w:tcBorders>
            <w:vAlign w:val="center"/>
          </w:tcPr>
          <w:p w14:paraId="6B4792D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0CE7DB1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7FF10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13" w:type="pct"/>
            <w:gridSpan w:val="4"/>
            <w:tcBorders>
              <w:top w:val="single" w:color="auto" w:sz="4" w:space="0"/>
              <w:left w:val="single" w:color="auto" w:sz="4" w:space="0"/>
              <w:bottom w:val="single" w:color="auto" w:sz="4" w:space="0"/>
              <w:right w:val="single" w:color="auto" w:sz="4" w:space="0"/>
            </w:tcBorders>
          </w:tcPr>
          <w:p w14:paraId="48F6EF0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商务条款</w:t>
            </w:r>
          </w:p>
        </w:tc>
        <w:tc>
          <w:tcPr>
            <w:tcW w:w="838" w:type="pct"/>
            <w:tcBorders>
              <w:top w:val="single" w:color="auto" w:sz="4" w:space="0"/>
              <w:left w:val="single" w:color="auto" w:sz="4" w:space="0"/>
              <w:bottom w:val="single" w:color="auto" w:sz="4" w:space="0"/>
              <w:right w:val="single" w:color="auto" w:sz="4" w:space="0"/>
            </w:tcBorders>
            <w:vAlign w:val="center"/>
          </w:tcPr>
          <w:p w14:paraId="417730B3">
            <w:pPr>
              <w:keepNext w:val="0"/>
              <w:keepLines w:val="0"/>
              <w:widowControl/>
              <w:suppressLineNumbers w:val="0"/>
              <w:jc w:val="both"/>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755A3425">
            <w:pPr>
              <w:keepNext w:val="0"/>
              <w:keepLines w:val="0"/>
              <w:widowControl/>
              <w:suppressLineNumbers w:val="0"/>
              <w:jc w:val="both"/>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3C2C7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0DA32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服务时间</w:t>
            </w:r>
            <w:r>
              <w:rPr>
                <w:rFonts w:hint="eastAsia" w:ascii="宋体" w:hAnsi="宋体" w:cs="宋体"/>
                <w:color w:val="000000" w:themeColor="text1"/>
                <w:sz w:val="22"/>
                <w:szCs w:val="22"/>
                <w:highlight w:val="none"/>
                <w:lang w:val="en-US" w:eastAsia="zh-CN"/>
                <w14:textFill>
                  <w14:solidFill>
                    <w14:schemeClr w14:val="tx1"/>
                  </w14:solidFill>
                </w14:textFill>
              </w:rPr>
              <w:t>及地点</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9EC52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服务期限：期限为</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年，开始及结束日期以合同签订时确定的时间为准。</w:t>
            </w:r>
          </w:p>
          <w:p w14:paraId="3C6492B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服务地点：广西医科大学第一附属医院</w:t>
            </w:r>
          </w:p>
        </w:tc>
        <w:tc>
          <w:tcPr>
            <w:tcW w:w="838" w:type="pct"/>
            <w:tcBorders>
              <w:top w:val="single" w:color="auto" w:sz="4" w:space="0"/>
              <w:left w:val="single" w:color="auto" w:sz="4" w:space="0"/>
              <w:bottom w:val="single" w:color="auto" w:sz="4" w:space="0"/>
              <w:right w:val="single" w:color="auto" w:sz="4" w:space="0"/>
            </w:tcBorders>
            <w:vAlign w:val="center"/>
          </w:tcPr>
          <w:p w14:paraId="251ECB4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434FE54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11D95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AF9DB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报价要求</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46DAD6">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服务费用实行总包制，投标报价应包含</w:t>
            </w:r>
            <w:r>
              <w:rPr>
                <w:rFonts w:hint="eastAsia" w:ascii="宋体" w:hAnsi="宋体" w:cs="宋体"/>
                <w:sz w:val="22"/>
                <w:szCs w:val="22"/>
                <w:highlight w:val="none"/>
                <w:lang w:val="en-US" w:eastAsia="zh-CN"/>
              </w:rPr>
              <w:t>但不限于</w:t>
            </w:r>
            <w:r>
              <w:rPr>
                <w:rFonts w:hint="eastAsia" w:ascii="宋体" w:hAnsi="宋体" w:eastAsia="宋体" w:cs="宋体"/>
                <w:sz w:val="22"/>
                <w:szCs w:val="22"/>
                <w:highlight w:val="none"/>
              </w:rPr>
              <w:t>：法律顾问服务费、</w:t>
            </w:r>
            <w:r>
              <w:rPr>
                <w:rFonts w:hint="eastAsia" w:ascii="宋体" w:hAnsi="宋体" w:cs="宋体"/>
                <w:sz w:val="22"/>
                <w:szCs w:val="22"/>
                <w:highlight w:val="none"/>
                <w:lang w:val="en-US" w:eastAsia="zh-CN"/>
              </w:rPr>
              <w:t>人员薪酬及福利、完成本项目所需的一切设备及工具、</w:t>
            </w:r>
            <w:r>
              <w:rPr>
                <w:rFonts w:hint="eastAsia" w:ascii="宋体" w:hAnsi="宋体" w:eastAsia="宋体" w:cs="宋体"/>
                <w:sz w:val="22"/>
                <w:szCs w:val="22"/>
                <w:highlight w:val="none"/>
              </w:rPr>
              <w:t>南宁市内交通费、通讯费、餐费</w:t>
            </w:r>
            <w:r>
              <w:rPr>
                <w:rFonts w:hint="eastAsia" w:ascii="宋体" w:hAnsi="宋体" w:cs="宋体"/>
                <w:sz w:val="22"/>
                <w:szCs w:val="22"/>
                <w:highlight w:val="none"/>
                <w:lang w:eastAsia="zh-CN"/>
              </w:rPr>
              <w:t>以及其他管理费用、税费、奖金、企业利润等。供应商报价时应充分考虑各项投标成本、税金等与本项目相关的一切费用，以及市场价格变动等风险。项目实施过程中，采购人不再支付其他任何费用。</w:t>
            </w:r>
          </w:p>
          <w:p w14:paraId="3E194FF2">
            <w:pPr>
              <w:pStyle w:val="2"/>
              <w:numPr>
                <w:ilvl w:val="0"/>
                <w:numId w:val="0"/>
              </w:numPr>
              <w:ind w:left="63" w:leftChars="30" w:right="63" w:rightChars="30" w:firstLine="0" w:firstLineChars="0"/>
              <w:jc w:val="both"/>
              <w:rPr>
                <w:rFonts w:hint="eastAsia" w:ascii="Times New Roman" w:hAnsi="Times New Roman" w:eastAsia="宋体" w:cs="Times New Roman"/>
                <w:kern w:val="0"/>
                <w:sz w:val="20"/>
                <w:szCs w:val="20"/>
                <w:highlight w:val="none"/>
                <w:lang w:val="en-US" w:eastAsia="zh-CN" w:bidi="ar-SA"/>
              </w:rPr>
            </w:pPr>
            <w:r>
              <w:rPr>
                <w:rFonts w:hint="eastAsia" w:ascii="宋体" w:hAnsi="宋体" w:eastAsia="宋体" w:cs="宋体"/>
                <w:kern w:val="2"/>
                <w:sz w:val="22"/>
                <w:szCs w:val="22"/>
                <w:highlight w:val="none"/>
                <w:lang w:val="en-US" w:eastAsia="zh-CN" w:bidi="ar-SA"/>
              </w:rPr>
              <w:t>2.有效的供应商的报价≤本项目的最高控制价。</w:t>
            </w:r>
          </w:p>
        </w:tc>
        <w:tc>
          <w:tcPr>
            <w:tcW w:w="838" w:type="pct"/>
            <w:tcBorders>
              <w:top w:val="single" w:color="auto" w:sz="4" w:space="0"/>
              <w:left w:val="single" w:color="auto" w:sz="4" w:space="0"/>
              <w:bottom w:val="single" w:color="auto" w:sz="4" w:space="0"/>
              <w:right w:val="single" w:color="auto" w:sz="4" w:space="0"/>
            </w:tcBorders>
            <w:vAlign w:val="center"/>
          </w:tcPr>
          <w:p w14:paraId="64DD671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5B1D4D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31109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B7F7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付款方式、时间、条件</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1FCDB6">
            <w:pPr>
              <w:pStyle w:val="10"/>
              <w:numPr>
                <w:ilvl w:val="0"/>
                <w:numId w:val="0"/>
              </w:numPr>
              <w:spacing w:line="360"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2、付款方式: 双方对全年考核表扣减费用进行核对后，服务费按年进行支付，</w:t>
            </w:r>
          </w:p>
          <w:p w14:paraId="677E334A">
            <w:pPr>
              <w:pStyle w:val="10"/>
              <w:numPr>
                <w:ilvl w:val="0"/>
                <w:numId w:val="0"/>
              </w:numPr>
              <w:spacing w:line="360"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供应商应在每年顾问期结束前向采购人提供付款材料，并开具有效票据，上述材料经采购人审核无误后，采购人自材料审核完成之日起 45 个工作日内将费用汇至供应商指定账户。</w:t>
            </w:r>
          </w:p>
          <w:p w14:paraId="13B549CB">
            <w:pPr>
              <w:pStyle w:val="10"/>
              <w:spacing w:line="360" w:lineRule="auto"/>
              <w:ind w:left="0" w:leftChars="0" w:firstLine="0" w:firstLineChars="0"/>
              <w:rPr>
                <w:rFonts w:hint="eastAsia" w:ascii="仿宋_GB2312" w:hAnsi="Calibri" w:eastAsia="仿宋_GB2312" w:cs="Times New Roman"/>
                <w:kern w:val="0"/>
                <w:sz w:val="32"/>
                <w:szCs w:val="20"/>
                <w:highlight w:val="none"/>
                <w:lang w:val="en-US" w:eastAsia="zh-CN" w:bidi="ar-SA"/>
              </w:rPr>
            </w:pPr>
            <w:r>
              <w:rPr>
                <w:rFonts w:hint="eastAsia" w:ascii="宋体" w:hAnsi="宋体" w:eastAsia="宋体" w:cs="宋体"/>
                <w:kern w:val="2"/>
                <w:sz w:val="22"/>
                <w:szCs w:val="22"/>
                <w:highlight w:val="none"/>
                <w:lang w:val="en-US" w:eastAsia="zh-CN" w:bidi="ar-SA"/>
              </w:rPr>
              <w:t>2、发票要求：付款前供应商必须提供真实、有效、合法的正式发票，如提供假发票的，供应商除须向采购人补开合法发票外，并须赔偿采购人发票票面金额一倍的违约金，由此产生的一切损失均由供应商承担。</w:t>
            </w:r>
          </w:p>
        </w:tc>
        <w:tc>
          <w:tcPr>
            <w:tcW w:w="838" w:type="pct"/>
            <w:tcBorders>
              <w:top w:val="single" w:color="auto" w:sz="4" w:space="0"/>
              <w:left w:val="single" w:color="auto" w:sz="4" w:space="0"/>
              <w:bottom w:val="single" w:color="auto" w:sz="4" w:space="0"/>
              <w:right w:val="single" w:color="auto" w:sz="4" w:space="0"/>
            </w:tcBorders>
            <w:vAlign w:val="center"/>
          </w:tcPr>
          <w:p w14:paraId="6D1074CB">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5F8E0F2E">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643C1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C96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验收标准</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20B4D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1、供应商需承担项目验收时发生的一切费用。</w:t>
            </w:r>
          </w:p>
          <w:p w14:paraId="5D8267C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2、采购单位将依据</w:t>
            </w:r>
            <w:r>
              <w:rPr>
                <w:rFonts w:hint="eastAsia" w:ascii="宋体" w:hAnsi="宋体" w:cs="宋体"/>
                <w:color w:val="000000" w:themeColor="text1"/>
                <w:sz w:val="22"/>
                <w:szCs w:val="22"/>
                <w:highlight w:val="none"/>
                <w:lang w:val="en-US" w:eastAsia="zh-CN"/>
                <w14:textFill>
                  <w14:solidFill>
                    <w14:schemeClr w14:val="tx1"/>
                  </w14:solidFill>
                </w14:textFill>
              </w:rPr>
              <w:t>合同、</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059A3C5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4C506BD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4、验收标准</w:t>
            </w:r>
          </w:p>
          <w:p w14:paraId="5C561DB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（1）项目采购文件及供应商响应文件中的“技术需求偏离表”，逐条验收；</w:t>
            </w:r>
          </w:p>
          <w:p w14:paraId="1A45B9A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（2）项目采购文件及投标人响应文件中的“商务条款偏离表”，逐条验收；</w:t>
            </w:r>
          </w:p>
          <w:p w14:paraId="53FE6C1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（3）供应商响应文件中其他技术、服务、商务性的说明、承诺事项，逐条验收。</w:t>
            </w:r>
          </w:p>
        </w:tc>
        <w:tc>
          <w:tcPr>
            <w:tcW w:w="838" w:type="pct"/>
            <w:tcBorders>
              <w:top w:val="single" w:color="auto" w:sz="4" w:space="0"/>
              <w:left w:val="single" w:color="auto" w:sz="4" w:space="0"/>
              <w:bottom w:val="single" w:color="auto" w:sz="4" w:space="0"/>
              <w:right w:val="single" w:color="auto" w:sz="4" w:space="0"/>
            </w:tcBorders>
            <w:vAlign w:val="center"/>
          </w:tcPr>
          <w:p w14:paraId="6385C9F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167EC4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r w14:paraId="573AA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BCBE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其他要求</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014A4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成交供应商必须对在服务过程中取得的信息，严格保密并与采购人签订保密协议。</w:t>
            </w:r>
          </w:p>
        </w:tc>
        <w:tc>
          <w:tcPr>
            <w:tcW w:w="838" w:type="pct"/>
            <w:tcBorders>
              <w:top w:val="single" w:color="auto" w:sz="4" w:space="0"/>
              <w:left w:val="single" w:color="auto" w:sz="4" w:space="0"/>
              <w:bottom w:val="single" w:color="auto" w:sz="4" w:space="0"/>
              <w:right w:val="single" w:color="auto" w:sz="4" w:space="0"/>
            </w:tcBorders>
            <w:vAlign w:val="center"/>
          </w:tcPr>
          <w:p w14:paraId="719379E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0D1EC6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bl>
    <w:p w14:paraId="48DA612E">
      <w:pPr>
        <w:pStyle w:val="10"/>
        <w:rPr>
          <w:rFonts w:hint="default" w:ascii="宋体" w:hAnsi="宋体" w:eastAsia="宋体" w:cs="宋体"/>
          <w:b/>
          <w:bCs/>
          <w:kern w:val="2"/>
          <w:sz w:val="28"/>
          <w:szCs w:val="28"/>
          <w:highlight w:val="none"/>
          <w:lang w:val="en-US" w:eastAsia="zh-CN" w:bidi="ar-SA"/>
        </w:rPr>
        <w:sectPr>
          <w:pgSz w:w="16838" w:h="11906" w:orient="landscape"/>
          <w:pgMar w:top="1800" w:right="1440" w:bottom="1800" w:left="1440" w:header="851" w:footer="992" w:gutter="0"/>
          <w:cols w:space="425" w:num="1"/>
          <w:docGrid w:type="lines" w:linePitch="312" w:charSpace="0"/>
        </w:sectPr>
      </w:pPr>
    </w:p>
    <w:p w14:paraId="10E34DAE">
      <w:pPr>
        <w:pStyle w:val="10"/>
        <w:numPr>
          <w:ilvl w:val="0"/>
          <w:numId w:val="0"/>
        </w:numPr>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5、报价单</w:t>
      </w:r>
    </w:p>
    <w:tbl>
      <w:tblPr>
        <w:tblStyle w:val="2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789"/>
        <w:gridCol w:w="1277"/>
        <w:gridCol w:w="1790"/>
        <w:gridCol w:w="1662"/>
        <w:gridCol w:w="1398"/>
      </w:tblGrid>
      <w:tr w14:paraId="22C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356" w:type="pct"/>
            <w:tcBorders>
              <w:top w:val="single" w:color="auto" w:sz="4" w:space="0"/>
              <w:left w:val="single" w:color="auto" w:sz="4" w:space="0"/>
              <w:bottom w:val="single" w:color="auto" w:sz="4" w:space="0"/>
              <w:right w:val="single" w:color="auto" w:sz="4" w:space="0"/>
            </w:tcBorders>
            <w:noWrap w:val="0"/>
            <w:vAlign w:val="center"/>
          </w:tcPr>
          <w:p w14:paraId="2CE688F2">
            <w:pPr>
              <w:wordWrap w:val="0"/>
              <w:jc w:val="center"/>
              <w:rPr>
                <w:rFonts w:hint="eastAsia" w:ascii="宋体" w:hAnsi="宋体" w:cs="宋体"/>
                <w:szCs w:val="21"/>
                <w:highlight w:val="none"/>
              </w:rPr>
            </w:pPr>
            <w:r>
              <w:rPr>
                <w:rFonts w:hint="eastAsia" w:ascii="宋体" w:hAnsi="宋体" w:cs="宋体"/>
                <w:szCs w:val="21"/>
                <w:highlight w:val="none"/>
              </w:rPr>
              <w:t>序号</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68D9D69A">
            <w:pPr>
              <w:wordWrap w:val="0"/>
              <w:jc w:val="center"/>
              <w:rPr>
                <w:rFonts w:hint="eastAsia" w:ascii="宋体" w:hAnsi="宋体" w:cs="宋体"/>
                <w:szCs w:val="21"/>
                <w:highlight w:val="none"/>
              </w:rPr>
            </w:pPr>
            <w:r>
              <w:rPr>
                <w:rFonts w:hint="eastAsia" w:ascii="宋体" w:hAnsi="宋体" w:cs="宋体"/>
                <w:szCs w:val="21"/>
                <w:highlight w:val="none"/>
              </w:rPr>
              <w:t>服务内容</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5C82D5CD">
            <w:pPr>
              <w:wordWrap w:val="0"/>
              <w:jc w:val="center"/>
              <w:rPr>
                <w:rFonts w:hint="eastAsia" w:ascii="宋体" w:hAnsi="宋体" w:cs="宋体"/>
                <w:szCs w:val="21"/>
                <w:highlight w:val="none"/>
              </w:rPr>
            </w:pPr>
            <w:r>
              <w:rPr>
                <w:rFonts w:hint="eastAsia" w:ascii="宋体" w:hAnsi="宋体" w:cs="宋体"/>
                <w:szCs w:val="21"/>
                <w:highlight w:val="none"/>
              </w:rPr>
              <w:t>数量①</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3F30A309">
            <w:pPr>
              <w:wordWrap w:val="0"/>
              <w:jc w:val="center"/>
              <w:rPr>
                <w:rFonts w:hint="eastAsia" w:ascii="宋体" w:hAnsi="宋体" w:cs="宋体"/>
                <w:szCs w:val="21"/>
                <w:highlight w:val="none"/>
              </w:rPr>
            </w:pPr>
            <w:r>
              <w:rPr>
                <w:rFonts w:hint="eastAsia" w:ascii="宋体" w:hAnsi="宋体" w:cs="宋体"/>
                <w:szCs w:val="21"/>
                <w:highlight w:val="none"/>
              </w:rPr>
              <w:t>单位（元/年）②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02B1F938">
            <w:pPr>
              <w:wordWrap w:val="0"/>
              <w:jc w:val="center"/>
              <w:rPr>
                <w:rFonts w:hint="eastAsia" w:ascii="宋体" w:hAnsi="宋体" w:cs="宋体"/>
                <w:szCs w:val="21"/>
                <w:highlight w:val="none"/>
              </w:rPr>
            </w:pPr>
            <w:r>
              <w:rPr>
                <w:rFonts w:hint="eastAsia" w:ascii="宋体" w:hAnsi="宋体" w:cs="宋体"/>
                <w:szCs w:val="21"/>
                <w:highlight w:val="none"/>
              </w:rPr>
              <w:t>合价（元）</w:t>
            </w:r>
          </w:p>
          <w:p w14:paraId="655CD19F">
            <w:pPr>
              <w:wordWrap w:val="0"/>
              <w:jc w:val="center"/>
              <w:rPr>
                <w:rFonts w:hint="eastAsia" w:ascii="宋体" w:hAnsi="宋体" w:cs="宋体"/>
                <w:szCs w:val="21"/>
                <w:highlight w:val="none"/>
              </w:rPr>
            </w:pPr>
            <w:r>
              <w:rPr>
                <w:rFonts w:hint="eastAsia" w:ascii="宋体" w:hAnsi="宋体" w:cs="宋体"/>
                <w:szCs w:val="21"/>
                <w:highlight w:val="none"/>
              </w:rPr>
              <w:t>③＝①×②</w:t>
            </w:r>
          </w:p>
        </w:tc>
        <w:tc>
          <w:tcPr>
            <w:tcW w:w="820" w:type="pct"/>
            <w:tcBorders>
              <w:top w:val="single" w:color="auto" w:sz="4" w:space="0"/>
              <w:left w:val="single" w:color="auto" w:sz="4" w:space="0"/>
              <w:bottom w:val="single" w:color="auto" w:sz="4" w:space="0"/>
              <w:right w:val="single" w:color="auto" w:sz="4" w:space="0"/>
            </w:tcBorders>
            <w:noWrap w:val="0"/>
            <w:vAlign w:val="center"/>
          </w:tcPr>
          <w:p w14:paraId="63D8B0D7">
            <w:pPr>
              <w:wordWrap w:val="0"/>
              <w:jc w:val="center"/>
              <w:rPr>
                <w:rFonts w:hint="eastAsia" w:ascii="宋体" w:hAnsi="宋体" w:cs="宋体"/>
                <w:szCs w:val="21"/>
                <w:highlight w:val="none"/>
              </w:rPr>
            </w:pPr>
            <w:r>
              <w:rPr>
                <w:rFonts w:hint="eastAsia" w:ascii="宋体" w:hAnsi="宋体" w:cs="宋体"/>
                <w:szCs w:val="21"/>
                <w:highlight w:val="none"/>
              </w:rPr>
              <w:t>备注</w:t>
            </w:r>
          </w:p>
        </w:tc>
      </w:tr>
      <w:tr w14:paraId="3005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right"/>
        </w:trPr>
        <w:tc>
          <w:tcPr>
            <w:tcW w:w="356" w:type="pct"/>
            <w:tcBorders>
              <w:top w:val="single" w:color="auto" w:sz="4" w:space="0"/>
              <w:left w:val="single" w:color="auto" w:sz="4" w:space="0"/>
              <w:bottom w:val="single" w:color="auto" w:sz="4" w:space="0"/>
              <w:right w:val="single" w:color="auto" w:sz="4" w:space="0"/>
            </w:tcBorders>
            <w:noWrap w:val="0"/>
            <w:vAlign w:val="center"/>
          </w:tcPr>
          <w:p w14:paraId="159290BB">
            <w:pPr>
              <w:wordWrap w:val="0"/>
              <w:jc w:val="center"/>
              <w:rPr>
                <w:rFonts w:hint="eastAsia" w:ascii="宋体" w:hAnsi="宋体" w:cs="宋体"/>
                <w:szCs w:val="21"/>
                <w:highlight w:val="none"/>
              </w:rPr>
            </w:pPr>
            <w:r>
              <w:rPr>
                <w:rFonts w:hint="eastAsia" w:ascii="宋体" w:hAnsi="宋体" w:cs="宋体"/>
                <w:szCs w:val="21"/>
                <w:highlight w:val="none"/>
              </w:rPr>
              <w:t>1</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2191A601">
            <w:pPr>
              <w:wordWrap w:val="0"/>
              <w:jc w:val="center"/>
              <w:rPr>
                <w:rFonts w:hint="eastAsia" w:ascii="宋体" w:hAnsi="宋体" w:cs="宋体"/>
                <w:szCs w:val="21"/>
                <w:highlight w:val="none"/>
              </w:rPr>
            </w:pPr>
            <w:r>
              <w:rPr>
                <w:rFonts w:hint="eastAsia" w:ascii="宋体" w:hAnsi="宋体" w:cs="宋体"/>
                <w:szCs w:val="21"/>
                <w:highlight w:val="none"/>
              </w:rPr>
              <w:t>2025年10月-2027年10月法律顾问服务</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DB593B5">
            <w:pPr>
              <w:wordWrap w:val="0"/>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年</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015BDCDC">
            <w:pPr>
              <w:wordWrap w:val="0"/>
              <w:jc w:val="center"/>
              <w:rPr>
                <w:rFonts w:hint="eastAsia" w:ascii="宋体" w:hAnsi="宋体" w:cs="宋体"/>
                <w:szCs w:val="21"/>
                <w:highlight w:val="none"/>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12848490">
            <w:pPr>
              <w:wordWrap w:val="0"/>
              <w:jc w:val="center"/>
              <w:rPr>
                <w:rFonts w:ascii="宋体" w:hAnsi="宋体" w:cs="宋体"/>
                <w:szCs w:val="21"/>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25E8E80C">
            <w:pPr>
              <w:wordWrap w:val="0"/>
              <w:rPr>
                <w:rFonts w:hint="eastAsia" w:ascii="宋体" w:hAnsi="宋体" w:cs="宋体"/>
                <w:szCs w:val="21"/>
                <w:highlight w:val="none"/>
              </w:rPr>
            </w:pPr>
          </w:p>
        </w:tc>
      </w:tr>
      <w:tr w14:paraId="7DF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righ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06CFB6F">
            <w:pPr>
              <w:wordWrap w:val="0"/>
              <w:rPr>
                <w:rFonts w:hint="eastAsia" w:ascii="宋体" w:hAnsi="宋体" w:cs="宋体"/>
                <w:szCs w:val="21"/>
                <w:highlight w:val="none"/>
              </w:rPr>
            </w:pPr>
            <w:r>
              <w:rPr>
                <w:rFonts w:hint="eastAsia" w:ascii="宋体" w:hAnsi="宋体" w:cs="宋体"/>
                <w:szCs w:val="21"/>
                <w:highlight w:val="none"/>
              </w:rPr>
              <w:t>报价合计（包含税费等所有费用）：（大写）人民币         （￥          元）</w:t>
            </w:r>
          </w:p>
        </w:tc>
      </w:tr>
      <w:tr w14:paraId="5D1C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righ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E56665A">
            <w:pPr>
              <w:wordWrap w:val="0"/>
              <w:rPr>
                <w:rFonts w:hint="eastAsia" w:ascii="宋体" w:hAnsi="宋体" w:cs="宋体"/>
                <w:szCs w:val="21"/>
                <w:highlight w:val="none"/>
              </w:rPr>
            </w:pPr>
            <w:r>
              <w:rPr>
                <w:rFonts w:hint="eastAsia" w:ascii="宋体" w:hAnsi="宋体" w:cs="宋体"/>
                <w:szCs w:val="21"/>
                <w:highlight w:val="none"/>
              </w:rPr>
              <w:t>备注：</w:t>
            </w:r>
          </w:p>
        </w:tc>
      </w:tr>
    </w:tbl>
    <w:p w14:paraId="649134AD">
      <w:pPr>
        <w:wordWrap w:val="0"/>
        <w:rPr>
          <w:rFonts w:hint="eastAsia" w:ascii="宋体" w:hAnsi="宋体" w:eastAsia="宋体" w:cs="宋体"/>
          <w:szCs w:val="21"/>
          <w:highlight w:val="none"/>
        </w:rPr>
      </w:pPr>
      <w:r>
        <w:rPr>
          <w:rFonts w:hint="eastAsia" w:ascii="宋体" w:hAnsi="宋体" w:eastAsia="宋体" w:cs="宋体"/>
          <w:szCs w:val="21"/>
          <w:highlight w:val="none"/>
        </w:rPr>
        <w:t>注：</w:t>
      </w:r>
    </w:p>
    <w:p w14:paraId="04982700">
      <w:pPr>
        <w:wordWrap w:val="0"/>
        <w:rPr>
          <w:rFonts w:hint="eastAsia" w:ascii="宋体" w:hAnsi="宋体" w:eastAsia="宋体" w:cs="宋体"/>
          <w:szCs w:val="21"/>
          <w:highlight w:val="none"/>
        </w:rPr>
      </w:pPr>
      <w:r>
        <w:rPr>
          <w:rFonts w:hint="eastAsia" w:ascii="宋体" w:hAnsi="宋体" w:eastAsia="宋体" w:cs="宋体"/>
          <w:szCs w:val="21"/>
          <w:highlight w:val="none"/>
        </w:rPr>
        <w:t xml:space="preserve">1、所有价格均用人民币表示，单位为元，精确到小数点后两位数。 </w:t>
      </w:r>
    </w:p>
    <w:p w14:paraId="0CCC03F8">
      <w:pPr>
        <w:wordWrap w:val="0"/>
        <w:rPr>
          <w:rFonts w:hint="eastAsia" w:ascii="宋体" w:hAnsi="宋体" w:eastAsia="宋体" w:cs="宋体"/>
          <w:szCs w:val="21"/>
          <w:highlight w:val="none"/>
        </w:rPr>
      </w:pPr>
      <w:r>
        <w:rPr>
          <w:rFonts w:hint="eastAsia" w:ascii="宋体" w:hAnsi="宋体" w:eastAsia="宋体" w:cs="宋体"/>
          <w:szCs w:val="21"/>
          <w:highlight w:val="none"/>
        </w:rPr>
        <w:t>2、服务费用实行总包制，投标报价应包含但不限于：法律顾问服务费、人员薪酬及福利、完成本项目所需的一切设备及工具、南宁市内交通费、通讯费、餐费以及其他管理费用、税费、奖金、企业利润等。供应商报价时应充分考虑各项投标成本、税金等与本项目相关的一切费用，以及市场价格变动等风险。项目实施过程中，采购人不再支付其他任何费用。</w:t>
      </w:r>
    </w:p>
    <w:p w14:paraId="4E3AC32D">
      <w:pPr>
        <w:pStyle w:val="2"/>
        <w:jc w:val="left"/>
        <w:rPr>
          <w:rFonts w:hint="default" w:eastAsia="宋体"/>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zCs w:val="21"/>
          <w:highlight w:val="none"/>
          <w:lang w:val="en-US" w:eastAsia="zh-CN"/>
        </w:rPr>
        <w:t>3、本项目总预算：74万元，有效的供应商的报价≤本项目的总预算。</w:t>
      </w:r>
    </w:p>
    <w:p w14:paraId="6B1E4CE9">
      <w:pPr>
        <w:numPr>
          <w:ilvl w:val="0"/>
          <w:numId w:val="0"/>
        </w:numPr>
        <w:snapToGrid w:val="0"/>
        <w:spacing w:before="50" w:afterLines="50"/>
        <w:ind w:left="0" w:leftChars="0" w:firstLine="0"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6、</w:t>
      </w:r>
      <w:r>
        <w:rPr>
          <w:rFonts w:hint="eastAsia" w:ascii="宋体" w:hAnsi="宋体" w:eastAsia="宋体" w:cs="宋体"/>
          <w:b/>
          <w:bCs/>
          <w:sz w:val="28"/>
          <w:szCs w:val="28"/>
          <w:highlight w:val="none"/>
          <w:lang w:val="en-US" w:eastAsia="zh-CN"/>
        </w:rPr>
        <w:t>提供自2023年1月1日以来同类项目业绩至少三份（同类项目业绩指为党政机关、事业单位、医疗机构、国有企业等提供法律顾问服务的业绩，提供合同关键页、成交公告等证明材料</w:t>
      </w:r>
      <w:bookmarkStart w:id="4" w:name="_GoBack"/>
      <w:bookmarkEnd w:id="4"/>
      <w:r>
        <w:rPr>
          <w:rFonts w:hint="eastAsia" w:ascii="宋体" w:hAnsi="宋体" w:eastAsia="宋体" w:cs="宋体"/>
          <w:b/>
          <w:bCs/>
          <w:sz w:val="28"/>
          <w:szCs w:val="28"/>
          <w:highlight w:val="none"/>
          <w:lang w:val="en-US" w:eastAsia="zh-CN"/>
        </w:rPr>
        <w:t>）</w:t>
      </w:r>
    </w:p>
    <w:p w14:paraId="18B35AA3">
      <w:pPr>
        <w:pStyle w:val="15"/>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pPr>
    </w:p>
    <w:p w14:paraId="3ABB13C8">
      <w:pPr>
        <w:pStyle w:val="1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highlight w:val="none"/>
        </w:rPr>
        <w:t>7、供应商认为需提供的其他材料（例如：服务方案、人员投入方案等）</w:t>
      </w:r>
      <w:r>
        <w:rPr>
          <w:rFonts w:hint="eastAsia" w:ascii="宋体" w:hAnsi="宋体" w:eastAsia="宋体" w:cs="宋体"/>
          <w:b/>
          <w:bCs w:val="0"/>
          <w:sz w:val="28"/>
          <w:szCs w:val="28"/>
          <w:highlight w:val="none"/>
          <w:lang w:eastAsia="zh-CN"/>
        </w:rPr>
        <w:t>。</w:t>
      </w:r>
    </w:p>
    <w:sectPr>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8F5">
    <w:pPr>
      <w:pStyle w:val="15"/>
      <w:tabs>
        <w:tab w:val="left" w:pos="5995"/>
        <w:tab w:val="clear" w:pos="4153"/>
      </w:tabs>
      <w:jc w:val="both"/>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4A7F2">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CA4A7F2">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D951A">
                          <w:pPr>
                            <w:pStyle w:val="15"/>
                            <w:jc w:val="cente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0E6D951A">
                    <w:pPr>
                      <w:pStyle w:val="15"/>
                      <w:jc w:val="center"/>
                    </w:pPr>
                  </w:p>
                </w:txbxContent>
              </v:textbox>
            </v:shape>
          </w:pict>
        </mc:Fallback>
      </mc:AlternateContent>
    </w:r>
    <w:r>
      <w:rPr>
        <w:rFonts w:hint="eastAsia" w:ascii="Times New Roman" w:hAnsi="Times New Roman" w:eastAsia="仿宋_GB2312"/>
        <w:sz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0A52">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307B9">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686307B9">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163">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16A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0D716A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YjRlNWU1MTNmNTNlNDQ0NGVhYTdmNzNlMjllYTEifQ=="/>
  </w:docVars>
  <w:rsids>
    <w:rsidRoot w:val="7DC52EA5"/>
    <w:rsid w:val="0001182B"/>
    <w:rsid w:val="00014122"/>
    <w:rsid w:val="00043EDC"/>
    <w:rsid w:val="00045C7B"/>
    <w:rsid w:val="00054B27"/>
    <w:rsid w:val="00071A4F"/>
    <w:rsid w:val="00073669"/>
    <w:rsid w:val="00081AE6"/>
    <w:rsid w:val="00082772"/>
    <w:rsid w:val="000840FC"/>
    <w:rsid w:val="00092509"/>
    <w:rsid w:val="000C5FB1"/>
    <w:rsid w:val="000C6C70"/>
    <w:rsid w:val="000E392E"/>
    <w:rsid w:val="001062E2"/>
    <w:rsid w:val="00107A7E"/>
    <w:rsid w:val="00111C68"/>
    <w:rsid w:val="0012320E"/>
    <w:rsid w:val="00125313"/>
    <w:rsid w:val="0015387F"/>
    <w:rsid w:val="00161D83"/>
    <w:rsid w:val="001B21C5"/>
    <w:rsid w:val="001C076D"/>
    <w:rsid w:val="001F37DE"/>
    <w:rsid w:val="00240444"/>
    <w:rsid w:val="00261511"/>
    <w:rsid w:val="002A3088"/>
    <w:rsid w:val="002D3B8F"/>
    <w:rsid w:val="002F487E"/>
    <w:rsid w:val="0030745F"/>
    <w:rsid w:val="00322F04"/>
    <w:rsid w:val="00362F88"/>
    <w:rsid w:val="00381ECF"/>
    <w:rsid w:val="00386FF7"/>
    <w:rsid w:val="00393FB3"/>
    <w:rsid w:val="003975A1"/>
    <w:rsid w:val="003A2758"/>
    <w:rsid w:val="004076FC"/>
    <w:rsid w:val="00422B7B"/>
    <w:rsid w:val="0043007C"/>
    <w:rsid w:val="00432596"/>
    <w:rsid w:val="00432E9A"/>
    <w:rsid w:val="00435EA6"/>
    <w:rsid w:val="00441693"/>
    <w:rsid w:val="0044211D"/>
    <w:rsid w:val="00472F26"/>
    <w:rsid w:val="004951A6"/>
    <w:rsid w:val="004A1324"/>
    <w:rsid w:val="004C6BAB"/>
    <w:rsid w:val="004E2EB6"/>
    <w:rsid w:val="004F5233"/>
    <w:rsid w:val="00522D62"/>
    <w:rsid w:val="005319D6"/>
    <w:rsid w:val="005435D4"/>
    <w:rsid w:val="005638E0"/>
    <w:rsid w:val="0057666D"/>
    <w:rsid w:val="005A6ADD"/>
    <w:rsid w:val="005F1C0C"/>
    <w:rsid w:val="0061446B"/>
    <w:rsid w:val="006251E3"/>
    <w:rsid w:val="006356B5"/>
    <w:rsid w:val="00674576"/>
    <w:rsid w:val="0068704D"/>
    <w:rsid w:val="006930AF"/>
    <w:rsid w:val="00693A10"/>
    <w:rsid w:val="00694990"/>
    <w:rsid w:val="006978BC"/>
    <w:rsid w:val="006A23BB"/>
    <w:rsid w:val="006B0D15"/>
    <w:rsid w:val="006D3BD1"/>
    <w:rsid w:val="006E6E7D"/>
    <w:rsid w:val="00730CB5"/>
    <w:rsid w:val="00760394"/>
    <w:rsid w:val="00763219"/>
    <w:rsid w:val="00784913"/>
    <w:rsid w:val="00786A28"/>
    <w:rsid w:val="00795C07"/>
    <w:rsid w:val="007A163C"/>
    <w:rsid w:val="007B0362"/>
    <w:rsid w:val="007C65D1"/>
    <w:rsid w:val="007E01DF"/>
    <w:rsid w:val="007E0476"/>
    <w:rsid w:val="007E2623"/>
    <w:rsid w:val="007E507F"/>
    <w:rsid w:val="00801E09"/>
    <w:rsid w:val="00850557"/>
    <w:rsid w:val="00864780"/>
    <w:rsid w:val="00865D1D"/>
    <w:rsid w:val="008C1C7E"/>
    <w:rsid w:val="008E5264"/>
    <w:rsid w:val="008E7FCE"/>
    <w:rsid w:val="00920ABE"/>
    <w:rsid w:val="00921224"/>
    <w:rsid w:val="00926C26"/>
    <w:rsid w:val="009557B2"/>
    <w:rsid w:val="00956B38"/>
    <w:rsid w:val="00977A56"/>
    <w:rsid w:val="00990679"/>
    <w:rsid w:val="00990B9C"/>
    <w:rsid w:val="009E2EB2"/>
    <w:rsid w:val="00A128E1"/>
    <w:rsid w:val="00AB3939"/>
    <w:rsid w:val="00AB3997"/>
    <w:rsid w:val="00AB3CF9"/>
    <w:rsid w:val="00AC6369"/>
    <w:rsid w:val="00AC6406"/>
    <w:rsid w:val="00AC6B4E"/>
    <w:rsid w:val="00AF024F"/>
    <w:rsid w:val="00B03B65"/>
    <w:rsid w:val="00B2573F"/>
    <w:rsid w:val="00B3440F"/>
    <w:rsid w:val="00B36373"/>
    <w:rsid w:val="00B65A4F"/>
    <w:rsid w:val="00B75D70"/>
    <w:rsid w:val="00B82B0F"/>
    <w:rsid w:val="00B94D4A"/>
    <w:rsid w:val="00BF367B"/>
    <w:rsid w:val="00C06477"/>
    <w:rsid w:val="00C06A1E"/>
    <w:rsid w:val="00C20F98"/>
    <w:rsid w:val="00C307AE"/>
    <w:rsid w:val="00C571A7"/>
    <w:rsid w:val="00C62041"/>
    <w:rsid w:val="00C87E5D"/>
    <w:rsid w:val="00C93C68"/>
    <w:rsid w:val="00C941BC"/>
    <w:rsid w:val="00CA299B"/>
    <w:rsid w:val="00CC1F4A"/>
    <w:rsid w:val="00CC60EA"/>
    <w:rsid w:val="00CD0B82"/>
    <w:rsid w:val="00D30840"/>
    <w:rsid w:val="00D3288F"/>
    <w:rsid w:val="00D42FF9"/>
    <w:rsid w:val="00D566D7"/>
    <w:rsid w:val="00D57EB3"/>
    <w:rsid w:val="00D62EA4"/>
    <w:rsid w:val="00D709EE"/>
    <w:rsid w:val="00DB290D"/>
    <w:rsid w:val="00DD5202"/>
    <w:rsid w:val="00DD6948"/>
    <w:rsid w:val="00E03DBB"/>
    <w:rsid w:val="00E05796"/>
    <w:rsid w:val="00E20177"/>
    <w:rsid w:val="00E35AA4"/>
    <w:rsid w:val="00E37ECF"/>
    <w:rsid w:val="00E978CC"/>
    <w:rsid w:val="00EA014B"/>
    <w:rsid w:val="00F22A1E"/>
    <w:rsid w:val="00F26369"/>
    <w:rsid w:val="00F328CD"/>
    <w:rsid w:val="00F435E1"/>
    <w:rsid w:val="00F71BF6"/>
    <w:rsid w:val="00F82AAF"/>
    <w:rsid w:val="00F9168F"/>
    <w:rsid w:val="00FA460F"/>
    <w:rsid w:val="00FD06E9"/>
    <w:rsid w:val="00FD3B7D"/>
    <w:rsid w:val="00FD4BB4"/>
    <w:rsid w:val="00FE5CCE"/>
    <w:rsid w:val="00FF47F4"/>
    <w:rsid w:val="010F2C79"/>
    <w:rsid w:val="0180460C"/>
    <w:rsid w:val="018207C5"/>
    <w:rsid w:val="01A31ABB"/>
    <w:rsid w:val="023B042D"/>
    <w:rsid w:val="029307AF"/>
    <w:rsid w:val="029E4497"/>
    <w:rsid w:val="02B04C50"/>
    <w:rsid w:val="02B56978"/>
    <w:rsid w:val="02D2724D"/>
    <w:rsid w:val="02F2197A"/>
    <w:rsid w:val="02FA082F"/>
    <w:rsid w:val="033B2485"/>
    <w:rsid w:val="03593C27"/>
    <w:rsid w:val="03850F0A"/>
    <w:rsid w:val="03D60954"/>
    <w:rsid w:val="03F10EDE"/>
    <w:rsid w:val="03F139E0"/>
    <w:rsid w:val="043307A6"/>
    <w:rsid w:val="04814D63"/>
    <w:rsid w:val="04D255BF"/>
    <w:rsid w:val="04DD7D0E"/>
    <w:rsid w:val="04EF0EBA"/>
    <w:rsid w:val="05146811"/>
    <w:rsid w:val="05177476"/>
    <w:rsid w:val="055A7363"/>
    <w:rsid w:val="05692B22"/>
    <w:rsid w:val="057523EE"/>
    <w:rsid w:val="058332BF"/>
    <w:rsid w:val="05E07758"/>
    <w:rsid w:val="06456716"/>
    <w:rsid w:val="067F6A05"/>
    <w:rsid w:val="069A035E"/>
    <w:rsid w:val="06BC6527"/>
    <w:rsid w:val="06BF03B5"/>
    <w:rsid w:val="06C13B3D"/>
    <w:rsid w:val="0780250D"/>
    <w:rsid w:val="078260E7"/>
    <w:rsid w:val="07B471FE"/>
    <w:rsid w:val="07C531B9"/>
    <w:rsid w:val="085B1D6F"/>
    <w:rsid w:val="087658EC"/>
    <w:rsid w:val="08D710E1"/>
    <w:rsid w:val="0932260E"/>
    <w:rsid w:val="0946699E"/>
    <w:rsid w:val="09497E1A"/>
    <w:rsid w:val="09771111"/>
    <w:rsid w:val="099C263F"/>
    <w:rsid w:val="09CB082F"/>
    <w:rsid w:val="0A01263D"/>
    <w:rsid w:val="0A48692C"/>
    <w:rsid w:val="0A613847"/>
    <w:rsid w:val="0A667025"/>
    <w:rsid w:val="0A6C2705"/>
    <w:rsid w:val="0A7113D6"/>
    <w:rsid w:val="0ADE0D1E"/>
    <w:rsid w:val="0B2A69C5"/>
    <w:rsid w:val="0B662F05"/>
    <w:rsid w:val="0B7A5D95"/>
    <w:rsid w:val="0B815649"/>
    <w:rsid w:val="0BE5207C"/>
    <w:rsid w:val="0C4A6383"/>
    <w:rsid w:val="0C75118B"/>
    <w:rsid w:val="0C7C6B22"/>
    <w:rsid w:val="0C866740"/>
    <w:rsid w:val="0D192328"/>
    <w:rsid w:val="0D742DF1"/>
    <w:rsid w:val="0D811BCF"/>
    <w:rsid w:val="0DB241E0"/>
    <w:rsid w:val="0DEF3C89"/>
    <w:rsid w:val="0E707BF7"/>
    <w:rsid w:val="0E9F5658"/>
    <w:rsid w:val="0EE303C9"/>
    <w:rsid w:val="0F283D96"/>
    <w:rsid w:val="0F8B2784"/>
    <w:rsid w:val="0FC63F72"/>
    <w:rsid w:val="0FF52AA9"/>
    <w:rsid w:val="105351A2"/>
    <w:rsid w:val="105567E3"/>
    <w:rsid w:val="10577F97"/>
    <w:rsid w:val="10991687"/>
    <w:rsid w:val="11252F1A"/>
    <w:rsid w:val="1154173C"/>
    <w:rsid w:val="11847C41"/>
    <w:rsid w:val="11B85B3D"/>
    <w:rsid w:val="11C25632"/>
    <w:rsid w:val="11D96D94"/>
    <w:rsid w:val="122B3102"/>
    <w:rsid w:val="125860AD"/>
    <w:rsid w:val="1266498D"/>
    <w:rsid w:val="12E0534B"/>
    <w:rsid w:val="12EA61CA"/>
    <w:rsid w:val="12F069E9"/>
    <w:rsid w:val="12F11027"/>
    <w:rsid w:val="13754D82"/>
    <w:rsid w:val="138F09C8"/>
    <w:rsid w:val="13AE1F3B"/>
    <w:rsid w:val="13B73411"/>
    <w:rsid w:val="13B80076"/>
    <w:rsid w:val="13C06F2A"/>
    <w:rsid w:val="13CC3E1E"/>
    <w:rsid w:val="13E17686"/>
    <w:rsid w:val="14060DE1"/>
    <w:rsid w:val="143C28F6"/>
    <w:rsid w:val="14436EA8"/>
    <w:rsid w:val="14445DAD"/>
    <w:rsid w:val="14591A0E"/>
    <w:rsid w:val="146F5D26"/>
    <w:rsid w:val="14860BF1"/>
    <w:rsid w:val="14922675"/>
    <w:rsid w:val="14C50C9C"/>
    <w:rsid w:val="14CA62B3"/>
    <w:rsid w:val="14F74BCE"/>
    <w:rsid w:val="157E709D"/>
    <w:rsid w:val="158F4E06"/>
    <w:rsid w:val="15AA3169"/>
    <w:rsid w:val="15FF306C"/>
    <w:rsid w:val="162C6AF9"/>
    <w:rsid w:val="17107B4D"/>
    <w:rsid w:val="176463EC"/>
    <w:rsid w:val="1765105F"/>
    <w:rsid w:val="1767428D"/>
    <w:rsid w:val="17C70110"/>
    <w:rsid w:val="17E92EF4"/>
    <w:rsid w:val="180D7890"/>
    <w:rsid w:val="18AE7C99"/>
    <w:rsid w:val="18C261C8"/>
    <w:rsid w:val="18CD0120"/>
    <w:rsid w:val="19294C0B"/>
    <w:rsid w:val="19A4072D"/>
    <w:rsid w:val="19B80DD0"/>
    <w:rsid w:val="19E20B4E"/>
    <w:rsid w:val="1A2A2FFC"/>
    <w:rsid w:val="1AA03612"/>
    <w:rsid w:val="1AA650CC"/>
    <w:rsid w:val="1AA7482F"/>
    <w:rsid w:val="1AB62E35"/>
    <w:rsid w:val="1AB74248"/>
    <w:rsid w:val="1AEA05DF"/>
    <w:rsid w:val="1AED4AA9"/>
    <w:rsid w:val="1B0555B5"/>
    <w:rsid w:val="1B1C538E"/>
    <w:rsid w:val="1B3A5814"/>
    <w:rsid w:val="1B4641B9"/>
    <w:rsid w:val="1B4D5548"/>
    <w:rsid w:val="1B7768E6"/>
    <w:rsid w:val="1B8E0FA5"/>
    <w:rsid w:val="1BBA70EA"/>
    <w:rsid w:val="1BF51B32"/>
    <w:rsid w:val="1C485D0F"/>
    <w:rsid w:val="1C534DE0"/>
    <w:rsid w:val="1CBB4733"/>
    <w:rsid w:val="1D507571"/>
    <w:rsid w:val="1D552DD9"/>
    <w:rsid w:val="1DA82040"/>
    <w:rsid w:val="1DB80A1F"/>
    <w:rsid w:val="1DCD6828"/>
    <w:rsid w:val="1DF20628"/>
    <w:rsid w:val="1E0B5246"/>
    <w:rsid w:val="1E340C41"/>
    <w:rsid w:val="1E962E2C"/>
    <w:rsid w:val="1F0321A7"/>
    <w:rsid w:val="1F364065"/>
    <w:rsid w:val="1FC72E9A"/>
    <w:rsid w:val="200F5F18"/>
    <w:rsid w:val="20144886"/>
    <w:rsid w:val="206218F3"/>
    <w:rsid w:val="206718C3"/>
    <w:rsid w:val="207E02D8"/>
    <w:rsid w:val="208D7F5E"/>
    <w:rsid w:val="20D14525"/>
    <w:rsid w:val="210D2CB1"/>
    <w:rsid w:val="212925B3"/>
    <w:rsid w:val="21395EDD"/>
    <w:rsid w:val="215A237F"/>
    <w:rsid w:val="219C4485"/>
    <w:rsid w:val="21A8172A"/>
    <w:rsid w:val="221A1EFC"/>
    <w:rsid w:val="221A4CD6"/>
    <w:rsid w:val="22420EF6"/>
    <w:rsid w:val="22511DC1"/>
    <w:rsid w:val="2277565C"/>
    <w:rsid w:val="22993768"/>
    <w:rsid w:val="22B91715"/>
    <w:rsid w:val="22EF78DC"/>
    <w:rsid w:val="23101BA9"/>
    <w:rsid w:val="23701704"/>
    <w:rsid w:val="23832C42"/>
    <w:rsid w:val="238C68D9"/>
    <w:rsid w:val="23D74548"/>
    <w:rsid w:val="2431606C"/>
    <w:rsid w:val="243F3E9B"/>
    <w:rsid w:val="24651B54"/>
    <w:rsid w:val="247022A7"/>
    <w:rsid w:val="24B6415E"/>
    <w:rsid w:val="24BB1774"/>
    <w:rsid w:val="24CB0514"/>
    <w:rsid w:val="250F1AC0"/>
    <w:rsid w:val="25117452"/>
    <w:rsid w:val="25227EA9"/>
    <w:rsid w:val="25283D1B"/>
    <w:rsid w:val="25286BFC"/>
    <w:rsid w:val="252A3F57"/>
    <w:rsid w:val="25700B6C"/>
    <w:rsid w:val="25783B09"/>
    <w:rsid w:val="259721E1"/>
    <w:rsid w:val="25CD4E9E"/>
    <w:rsid w:val="2610789E"/>
    <w:rsid w:val="26261F4D"/>
    <w:rsid w:val="26337076"/>
    <w:rsid w:val="265A1BB4"/>
    <w:rsid w:val="266B278A"/>
    <w:rsid w:val="26D11723"/>
    <w:rsid w:val="26DA3033"/>
    <w:rsid w:val="276D77B5"/>
    <w:rsid w:val="27D11FEB"/>
    <w:rsid w:val="27D71703"/>
    <w:rsid w:val="286914E7"/>
    <w:rsid w:val="288307FB"/>
    <w:rsid w:val="289335D2"/>
    <w:rsid w:val="28AD40F4"/>
    <w:rsid w:val="28ED60D4"/>
    <w:rsid w:val="28F9175A"/>
    <w:rsid w:val="28FC7C1A"/>
    <w:rsid w:val="29015BC3"/>
    <w:rsid w:val="291A4E2F"/>
    <w:rsid w:val="29606D8E"/>
    <w:rsid w:val="296930F2"/>
    <w:rsid w:val="29AC526A"/>
    <w:rsid w:val="29CF4022"/>
    <w:rsid w:val="29FD45DD"/>
    <w:rsid w:val="2A227790"/>
    <w:rsid w:val="2A4C3A21"/>
    <w:rsid w:val="2A580712"/>
    <w:rsid w:val="2A756869"/>
    <w:rsid w:val="2A832D34"/>
    <w:rsid w:val="2A8A31B3"/>
    <w:rsid w:val="2AB253C7"/>
    <w:rsid w:val="2AB32EED"/>
    <w:rsid w:val="2AC754C9"/>
    <w:rsid w:val="2B0459C6"/>
    <w:rsid w:val="2B6B072A"/>
    <w:rsid w:val="2BA7612C"/>
    <w:rsid w:val="2BB331A5"/>
    <w:rsid w:val="2C2916B9"/>
    <w:rsid w:val="2C2D5207"/>
    <w:rsid w:val="2C520C10"/>
    <w:rsid w:val="2C772839"/>
    <w:rsid w:val="2CA50EF2"/>
    <w:rsid w:val="2CB216AE"/>
    <w:rsid w:val="2CDC2B8B"/>
    <w:rsid w:val="2CE13D42"/>
    <w:rsid w:val="2CE6368C"/>
    <w:rsid w:val="2CED0939"/>
    <w:rsid w:val="2D572256"/>
    <w:rsid w:val="2D74105A"/>
    <w:rsid w:val="2DDB7DBD"/>
    <w:rsid w:val="2EC76F67"/>
    <w:rsid w:val="2EE930F3"/>
    <w:rsid w:val="2F363FD6"/>
    <w:rsid w:val="2F745341"/>
    <w:rsid w:val="2FE204FD"/>
    <w:rsid w:val="2FED67F0"/>
    <w:rsid w:val="30D152B1"/>
    <w:rsid w:val="30EA695A"/>
    <w:rsid w:val="30FD2F75"/>
    <w:rsid w:val="31086BD1"/>
    <w:rsid w:val="315D0ECD"/>
    <w:rsid w:val="318178A1"/>
    <w:rsid w:val="321A1044"/>
    <w:rsid w:val="32425B98"/>
    <w:rsid w:val="32FA1C32"/>
    <w:rsid w:val="330427FC"/>
    <w:rsid w:val="341C5D39"/>
    <w:rsid w:val="342B17CD"/>
    <w:rsid w:val="343D58A1"/>
    <w:rsid w:val="3457130E"/>
    <w:rsid w:val="3458152F"/>
    <w:rsid w:val="346516FC"/>
    <w:rsid w:val="348F22D5"/>
    <w:rsid w:val="34A46413"/>
    <w:rsid w:val="34E40873"/>
    <w:rsid w:val="353F2D47"/>
    <w:rsid w:val="35CB53A7"/>
    <w:rsid w:val="35FC7E3E"/>
    <w:rsid w:val="362829E1"/>
    <w:rsid w:val="365437D6"/>
    <w:rsid w:val="36545AE5"/>
    <w:rsid w:val="369B1405"/>
    <w:rsid w:val="36CE5337"/>
    <w:rsid w:val="37060F75"/>
    <w:rsid w:val="37137350"/>
    <w:rsid w:val="37756AB3"/>
    <w:rsid w:val="37764CBD"/>
    <w:rsid w:val="378C30BB"/>
    <w:rsid w:val="37E170D4"/>
    <w:rsid w:val="38174ADA"/>
    <w:rsid w:val="3825367C"/>
    <w:rsid w:val="3841400E"/>
    <w:rsid w:val="384B29B7"/>
    <w:rsid w:val="384B7486"/>
    <w:rsid w:val="389F5BCA"/>
    <w:rsid w:val="39477622"/>
    <w:rsid w:val="394F0490"/>
    <w:rsid w:val="396957EB"/>
    <w:rsid w:val="396C46D1"/>
    <w:rsid w:val="3A0073A2"/>
    <w:rsid w:val="3A3C784F"/>
    <w:rsid w:val="3ABC7B9C"/>
    <w:rsid w:val="3AE710BD"/>
    <w:rsid w:val="3B6A75F8"/>
    <w:rsid w:val="3B8E5C06"/>
    <w:rsid w:val="3BB571BF"/>
    <w:rsid w:val="3BC56053"/>
    <w:rsid w:val="3BCA3339"/>
    <w:rsid w:val="3BD80A06"/>
    <w:rsid w:val="3BF55114"/>
    <w:rsid w:val="3C30228F"/>
    <w:rsid w:val="3C6957BF"/>
    <w:rsid w:val="3CA50EEA"/>
    <w:rsid w:val="3CF47533"/>
    <w:rsid w:val="3D605157"/>
    <w:rsid w:val="3D6E6BA4"/>
    <w:rsid w:val="3D6F7148"/>
    <w:rsid w:val="3DAD3FBE"/>
    <w:rsid w:val="3DD142BB"/>
    <w:rsid w:val="3E6D7B0C"/>
    <w:rsid w:val="3E950E30"/>
    <w:rsid w:val="3F0B4C4E"/>
    <w:rsid w:val="3F0E7575"/>
    <w:rsid w:val="3F2C7B93"/>
    <w:rsid w:val="3F5E2DF9"/>
    <w:rsid w:val="3F815008"/>
    <w:rsid w:val="3F9D1D4A"/>
    <w:rsid w:val="40147B22"/>
    <w:rsid w:val="408353E4"/>
    <w:rsid w:val="409B1A96"/>
    <w:rsid w:val="413B5FB6"/>
    <w:rsid w:val="415B1B90"/>
    <w:rsid w:val="4168282C"/>
    <w:rsid w:val="41742367"/>
    <w:rsid w:val="41AA69A0"/>
    <w:rsid w:val="41CE6B33"/>
    <w:rsid w:val="41D1217F"/>
    <w:rsid w:val="425B0980"/>
    <w:rsid w:val="4283791D"/>
    <w:rsid w:val="42BE5066"/>
    <w:rsid w:val="42F36125"/>
    <w:rsid w:val="43115D2A"/>
    <w:rsid w:val="43394480"/>
    <w:rsid w:val="433D7A78"/>
    <w:rsid w:val="4349216B"/>
    <w:rsid w:val="435757B2"/>
    <w:rsid w:val="438C790B"/>
    <w:rsid w:val="43B64C47"/>
    <w:rsid w:val="43CE2297"/>
    <w:rsid w:val="44071496"/>
    <w:rsid w:val="445D419E"/>
    <w:rsid w:val="446217B4"/>
    <w:rsid w:val="447A4D50"/>
    <w:rsid w:val="44BF09B5"/>
    <w:rsid w:val="44D97CC8"/>
    <w:rsid w:val="4504461A"/>
    <w:rsid w:val="45464C32"/>
    <w:rsid w:val="455B4A19"/>
    <w:rsid w:val="45D16BF2"/>
    <w:rsid w:val="460D4257"/>
    <w:rsid w:val="463336E0"/>
    <w:rsid w:val="46A240EA"/>
    <w:rsid w:val="46C16C66"/>
    <w:rsid w:val="46D04693"/>
    <w:rsid w:val="478D6A3C"/>
    <w:rsid w:val="47E744AA"/>
    <w:rsid w:val="48086415"/>
    <w:rsid w:val="482336B0"/>
    <w:rsid w:val="482B4558"/>
    <w:rsid w:val="487526CC"/>
    <w:rsid w:val="48B545A9"/>
    <w:rsid w:val="49521DF7"/>
    <w:rsid w:val="495F27A1"/>
    <w:rsid w:val="49C34D17"/>
    <w:rsid w:val="4A8915B8"/>
    <w:rsid w:val="4A944A26"/>
    <w:rsid w:val="4A995804"/>
    <w:rsid w:val="4AB64F82"/>
    <w:rsid w:val="4AD351BA"/>
    <w:rsid w:val="4AEC627C"/>
    <w:rsid w:val="4AF018C8"/>
    <w:rsid w:val="4B101774"/>
    <w:rsid w:val="4B5C5D43"/>
    <w:rsid w:val="4B975426"/>
    <w:rsid w:val="4BDA4326"/>
    <w:rsid w:val="4C312198"/>
    <w:rsid w:val="4C343A36"/>
    <w:rsid w:val="4C397865"/>
    <w:rsid w:val="4C5C608F"/>
    <w:rsid w:val="4CCC3B4A"/>
    <w:rsid w:val="4D3D4B6D"/>
    <w:rsid w:val="4D622825"/>
    <w:rsid w:val="4D81330C"/>
    <w:rsid w:val="4DAD6D49"/>
    <w:rsid w:val="4DDD4E6D"/>
    <w:rsid w:val="4E014B73"/>
    <w:rsid w:val="4E2A50F1"/>
    <w:rsid w:val="4E594465"/>
    <w:rsid w:val="4E5B79A0"/>
    <w:rsid w:val="4E93713A"/>
    <w:rsid w:val="4EBE1CDD"/>
    <w:rsid w:val="4EDD6607"/>
    <w:rsid w:val="4EE400F6"/>
    <w:rsid w:val="4F464194"/>
    <w:rsid w:val="4F510757"/>
    <w:rsid w:val="4F946E6D"/>
    <w:rsid w:val="4FDB37F4"/>
    <w:rsid w:val="50141B8D"/>
    <w:rsid w:val="502649D0"/>
    <w:rsid w:val="502D4D98"/>
    <w:rsid w:val="50940112"/>
    <w:rsid w:val="50AB003F"/>
    <w:rsid w:val="50B603AB"/>
    <w:rsid w:val="50BC5616"/>
    <w:rsid w:val="50FA67BE"/>
    <w:rsid w:val="511144D8"/>
    <w:rsid w:val="51CE19A0"/>
    <w:rsid w:val="5215447D"/>
    <w:rsid w:val="522474FD"/>
    <w:rsid w:val="522B768A"/>
    <w:rsid w:val="52956034"/>
    <w:rsid w:val="537E0443"/>
    <w:rsid w:val="53AE0572"/>
    <w:rsid w:val="53C33A31"/>
    <w:rsid w:val="53E72A96"/>
    <w:rsid w:val="545D5AF4"/>
    <w:rsid w:val="54A232F5"/>
    <w:rsid w:val="54E3424B"/>
    <w:rsid w:val="55844554"/>
    <w:rsid w:val="564C7BCE"/>
    <w:rsid w:val="56633896"/>
    <w:rsid w:val="56A833F9"/>
    <w:rsid w:val="575104C8"/>
    <w:rsid w:val="57B554F4"/>
    <w:rsid w:val="57E04A72"/>
    <w:rsid w:val="57FF75EE"/>
    <w:rsid w:val="58354DBE"/>
    <w:rsid w:val="5870229A"/>
    <w:rsid w:val="58715890"/>
    <w:rsid w:val="590865AD"/>
    <w:rsid w:val="5987789B"/>
    <w:rsid w:val="59A33A0D"/>
    <w:rsid w:val="59AA4DF7"/>
    <w:rsid w:val="5A0507C0"/>
    <w:rsid w:val="5A43263C"/>
    <w:rsid w:val="5AB77983"/>
    <w:rsid w:val="5ABB5323"/>
    <w:rsid w:val="5ABD560D"/>
    <w:rsid w:val="5B2335F4"/>
    <w:rsid w:val="5B694D7F"/>
    <w:rsid w:val="5B745BFD"/>
    <w:rsid w:val="5B9A4115"/>
    <w:rsid w:val="5B9F1982"/>
    <w:rsid w:val="5BBD57F6"/>
    <w:rsid w:val="5C003935"/>
    <w:rsid w:val="5C1473E0"/>
    <w:rsid w:val="5C3435DF"/>
    <w:rsid w:val="5CB12E81"/>
    <w:rsid w:val="5D0B4EFB"/>
    <w:rsid w:val="5D1C0BD9"/>
    <w:rsid w:val="5D373C4B"/>
    <w:rsid w:val="5D447903"/>
    <w:rsid w:val="5D75771C"/>
    <w:rsid w:val="5D9702C9"/>
    <w:rsid w:val="5DAB1E3A"/>
    <w:rsid w:val="5DD24E5D"/>
    <w:rsid w:val="5DFE3EA4"/>
    <w:rsid w:val="5E070FAB"/>
    <w:rsid w:val="5E4F4700"/>
    <w:rsid w:val="5E68756F"/>
    <w:rsid w:val="5EA8533D"/>
    <w:rsid w:val="5F1C0A86"/>
    <w:rsid w:val="5F577D10"/>
    <w:rsid w:val="5F805BD9"/>
    <w:rsid w:val="5F8454CE"/>
    <w:rsid w:val="5FC07EA8"/>
    <w:rsid w:val="5FE115EF"/>
    <w:rsid w:val="5FE315A4"/>
    <w:rsid w:val="602216B9"/>
    <w:rsid w:val="60367B2B"/>
    <w:rsid w:val="603F34D8"/>
    <w:rsid w:val="604F14EC"/>
    <w:rsid w:val="60A70B88"/>
    <w:rsid w:val="61090336"/>
    <w:rsid w:val="61181721"/>
    <w:rsid w:val="61500960"/>
    <w:rsid w:val="618621F4"/>
    <w:rsid w:val="6198793A"/>
    <w:rsid w:val="61B722C3"/>
    <w:rsid w:val="61D01DD2"/>
    <w:rsid w:val="62046A6B"/>
    <w:rsid w:val="62257D7B"/>
    <w:rsid w:val="627604AD"/>
    <w:rsid w:val="628B164A"/>
    <w:rsid w:val="629923ED"/>
    <w:rsid w:val="62B64D4D"/>
    <w:rsid w:val="62BC60DF"/>
    <w:rsid w:val="62C2643F"/>
    <w:rsid w:val="631A4D27"/>
    <w:rsid w:val="634E142A"/>
    <w:rsid w:val="636C2D76"/>
    <w:rsid w:val="63DA020D"/>
    <w:rsid w:val="63E105CA"/>
    <w:rsid w:val="64371EBE"/>
    <w:rsid w:val="643C430D"/>
    <w:rsid w:val="6454612A"/>
    <w:rsid w:val="645F2960"/>
    <w:rsid w:val="64C74A05"/>
    <w:rsid w:val="64CD09EF"/>
    <w:rsid w:val="64DC699A"/>
    <w:rsid w:val="64F67EE8"/>
    <w:rsid w:val="653C15BA"/>
    <w:rsid w:val="653E2944"/>
    <w:rsid w:val="65402D12"/>
    <w:rsid w:val="658147AB"/>
    <w:rsid w:val="65AA7E46"/>
    <w:rsid w:val="65EE70DA"/>
    <w:rsid w:val="661A232A"/>
    <w:rsid w:val="6632293D"/>
    <w:rsid w:val="6686173D"/>
    <w:rsid w:val="669E7FD2"/>
    <w:rsid w:val="66D11982"/>
    <w:rsid w:val="66EA3218"/>
    <w:rsid w:val="67386806"/>
    <w:rsid w:val="67424E02"/>
    <w:rsid w:val="675D094C"/>
    <w:rsid w:val="6776587D"/>
    <w:rsid w:val="678F223E"/>
    <w:rsid w:val="67B61CC7"/>
    <w:rsid w:val="68792AA5"/>
    <w:rsid w:val="68B824DE"/>
    <w:rsid w:val="68B91D73"/>
    <w:rsid w:val="690B4321"/>
    <w:rsid w:val="692D388F"/>
    <w:rsid w:val="698F62F8"/>
    <w:rsid w:val="69961435"/>
    <w:rsid w:val="699A7177"/>
    <w:rsid w:val="69AD6A82"/>
    <w:rsid w:val="6A162A44"/>
    <w:rsid w:val="6A243D68"/>
    <w:rsid w:val="6A455DFD"/>
    <w:rsid w:val="6A48378D"/>
    <w:rsid w:val="6AFF300A"/>
    <w:rsid w:val="6B091F05"/>
    <w:rsid w:val="6B1A1459"/>
    <w:rsid w:val="6B39435F"/>
    <w:rsid w:val="6B87372B"/>
    <w:rsid w:val="6BB81B36"/>
    <w:rsid w:val="6BD7028F"/>
    <w:rsid w:val="6BF80717"/>
    <w:rsid w:val="6BF85B87"/>
    <w:rsid w:val="6C1D55C6"/>
    <w:rsid w:val="6C6E4D5C"/>
    <w:rsid w:val="6C9652DB"/>
    <w:rsid w:val="6CCC5F78"/>
    <w:rsid w:val="6CF71342"/>
    <w:rsid w:val="6D26555E"/>
    <w:rsid w:val="6D697D36"/>
    <w:rsid w:val="6D9A234C"/>
    <w:rsid w:val="6E1100A6"/>
    <w:rsid w:val="6E781A51"/>
    <w:rsid w:val="6E8D052E"/>
    <w:rsid w:val="6E982293"/>
    <w:rsid w:val="6EC54776"/>
    <w:rsid w:val="6EC66318"/>
    <w:rsid w:val="6EC97FDE"/>
    <w:rsid w:val="6EE1655E"/>
    <w:rsid w:val="6EF2535F"/>
    <w:rsid w:val="6F063E1D"/>
    <w:rsid w:val="6F2B4924"/>
    <w:rsid w:val="6F6A1399"/>
    <w:rsid w:val="6F7017BF"/>
    <w:rsid w:val="707301DF"/>
    <w:rsid w:val="70AA1185"/>
    <w:rsid w:val="70B054D2"/>
    <w:rsid w:val="70D50A94"/>
    <w:rsid w:val="70F040A8"/>
    <w:rsid w:val="711A294B"/>
    <w:rsid w:val="712D08D1"/>
    <w:rsid w:val="722001CA"/>
    <w:rsid w:val="724C2FD8"/>
    <w:rsid w:val="7251239D"/>
    <w:rsid w:val="729C4BB7"/>
    <w:rsid w:val="733046A8"/>
    <w:rsid w:val="73921146"/>
    <w:rsid w:val="73DB4E1F"/>
    <w:rsid w:val="740B13C3"/>
    <w:rsid w:val="74381A66"/>
    <w:rsid w:val="743B50B2"/>
    <w:rsid w:val="7443371B"/>
    <w:rsid w:val="745C422F"/>
    <w:rsid w:val="74A751D7"/>
    <w:rsid w:val="74A83D3F"/>
    <w:rsid w:val="74AE1D28"/>
    <w:rsid w:val="74B9039C"/>
    <w:rsid w:val="74E67714"/>
    <w:rsid w:val="75497CA3"/>
    <w:rsid w:val="757575F0"/>
    <w:rsid w:val="757C43AA"/>
    <w:rsid w:val="75B66837"/>
    <w:rsid w:val="761A7171"/>
    <w:rsid w:val="762F4835"/>
    <w:rsid w:val="763D3A86"/>
    <w:rsid w:val="76780840"/>
    <w:rsid w:val="767F254D"/>
    <w:rsid w:val="76E210CD"/>
    <w:rsid w:val="770519A8"/>
    <w:rsid w:val="770E2F52"/>
    <w:rsid w:val="771C1E27"/>
    <w:rsid w:val="77333B9D"/>
    <w:rsid w:val="777059BB"/>
    <w:rsid w:val="77737AF1"/>
    <w:rsid w:val="77923326"/>
    <w:rsid w:val="77F35E7A"/>
    <w:rsid w:val="781A3F3B"/>
    <w:rsid w:val="7863107C"/>
    <w:rsid w:val="78670B6C"/>
    <w:rsid w:val="78B418D7"/>
    <w:rsid w:val="78C132E5"/>
    <w:rsid w:val="792E7917"/>
    <w:rsid w:val="793F363C"/>
    <w:rsid w:val="797252E7"/>
    <w:rsid w:val="79731FBB"/>
    <w:rsid w:val="79B86B21"/>
    <w:rsid w:val="79EC1FD7"/>
    <w:rsid w:val="7A2B12FD"/>
    <w:rsid w:val="7A644B7F"/>
    <w:rsid w:val="7AA15E8B"/>
    <w:rsid w:val="7AF0727B"/>
    <w:rsid w:val="7AFD1314"/>
    <w:rsid w:val="7B8C7C65"/>
    <w:rsid w:val="7B900A0A"/>
    <w:rsid w:val="7BC41E31"/>
    <w:rsid w:val="7C0526B8"/>
    <w:rsid w:val="7C617072"/>
    <w:rsid w:val="7CE5463C"/>
    <w:rsid w:val="7CFE5817"/>
    <w:rsid w:val="7D0C5A4B"/>
    <w:rsid w:val="7D2124A7"/>
    <w:rsid w:val="7D627B54"/>
    <w:rsid w:val="7D6A4C5A"/>
    <w:rsid w:val="7D6F41A2"/>
    <w:rsid w:val="7D7653AD"/>
    <w:rsid w:val="7DC52EA5"/>
    <w:rsid w:val="7DF02012"/>
    <w:rsid w:val="7E510534"/>
    <w:rsid w:val="7EDA196C"/>
    <w:rsid w:val="7F16256D"/>
    <w:rsid w:val="7FC10575"/>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4">
    <w:name w:val="heading 3"/>
    <w:basedOn w:val="1"/>
    <w:autoRedefine/>
    <w:qFormat/>
    <w:uiPriority w:val="0"/>
    <w:pPr>
      <w:spacing w:line="413" w:lineRule="auto"/>
      <w:ind w:firstLine="480" w:firstLineChars="200"/>
      <w:jc w:val="left"/>
      <w:outlineLvl w:val="2"/>
    </w:pPr>
    <w:rPr>
      <w:bCs/>
      <w:sz w:val="24"/>
      <w:szCs w:val="24"/>
    </w:rPr>
  </w:style>
  <w:style w:type="paragraph" w:styleId="5">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6">
    <w:name w:val="heading 5"/>
    <w:basedOn w:val="1"/>
    <w:autoRedefine/>
    <w:qFormat/>
    <w:uiPriority w:val="0"/>
    <w:pPr>
      <w:keepNext/>
      <w:keepLines/>
      <w:spacing w:line="372" w:lineRule="auto"/>
      <w:outlineLvl w:val="4"/>
    </w:pPr>
    <w:rPr>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7">
    <w:name w:val="index 8"/>
    <w:basedOn w:val="1"/>
    <w:next w:val="1"/>
    <w:qFormat/>
    <w:uiPriority w:val="99"/>
    <w:pPr>
      <w:ind w:left="1400" w:leftChars="1400"/>
    </w:pPr>
  </w:style>
  <w:style w:type="paragraph" w:styleId="8">
    <w:name w:val="Normal Indent"/>
    <w:basedOn w:val="1"/>
    <w:next w:val="1"/>
    <w:qFormat/>
    <w:uiPriority w:val="0"/>
    <w:pPr>
      <w:ind w:firstLine="420"/>
    </w:pPr>
    <w:rPr>
      <w:szCs w:val="20"/>
    </w:rPr>
  </w:style>
  <w:style w:type="paragraph" w:styleId="9">
    <w:name w:val="annotation text"/>
    <w:basedOn w:val="1"/>
    <w:link w:val="31"/>
    <w:autoRedefine/>
    <w:qFormat/>
    <w:uiPriority w:val="0"/>
    <w:pPr>
      <w:jc w:val="left"/>
    </w:pPr>
  </w:style>
  <w:style w:type="paragraph" w:styleId="10">
    <w:name w:val="Body Text Indent"/>
    <w:basedOn w:val="1"/>
    <w:link w:val="36"/>
    <w:autoRedefine/>
    <w:qFormat/>
    <w:uiPriority w:val="0"/>
    <w:pPr>
      <w:ind w:firstLine="830" w:firstLineChars="352"/>
    </w:pPr>
    <w:rPr>
      <w:rFonts w:ascii="仿宋_GB2312" w:eastAsia="仿宋_GB2312"/>
      <w:kern w:val="0"/>
      <w:sz w:val="32"/>
      <w:szCs w:val="20"/>
    </w:rPr>
  </w:style>
  <w:style w:type="paragraph" w:styleId="11">
    <w:name w:val="toc 5"/>
    <w:basedOn w:val="1"/>
    <w:autoRedefine/>
    <w:qFormat/>
    <w:uiPriority w:val="0"/>
    <w:pPr>
      <w:tabs>
        <w:tab w:val="right" w:leader="dot" w:pos="8296"/>
      </w:tabs>
      <w:ind w:left="1050" w:leftChars="500"/>
    </w:pPr>
  </w:style>
  <w:style w:type="paragraph" w:styleId="12">
    <w:name w:val="toc 3"/>
    <w:basedOn w:val="1"/>
    <w:autoRedefine/>
    <w:qFormat/>
    <w:uiPriority w:val="0"/>
    <w:pPr>
      <w:ind w:left="840" w:leftChars="400"/>
    </w:pPr>
  </w:style>
  <w:style w:type="paragraph" w:styleId="13">
    <w:name w:val="Plain Text"/>
    <w:basedOn w:val="1"/>
    <w:link w:val="39"/>
    <w:autoRedefine/>
    <w:qFormat/>
    <w:uiPriority w:val="99"/>
    <w:rPr>
      <w:rFonts w:ascii="宋体" w:hAnsi="Courier New" w:cs="Courier New"/>
      <w:szCs w:val="21"/>
    </w:rPr>
  </w:style>
  <w:style w:type="paragraph" w:styleId="14">
    <w:name w:val="Balloon Text"/>
    <w:basedOn w:val="1"/>
    <w:link w:val="33"/>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autoRedefine/>
    <w:qFormat/>
    <w:uiPriority w:val="0"/>
    <w:pPr>
      <w:tabs>
        <w:tab w:val="left" w:pos="1890"/>
        <w:tab w:val="right" w:leader="dot" w:pos="8296"/>
      </w:tabs>
      <w:ind w:left="630" w:leftChars="3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link w:val="32"/>
    <w:autoRedefine/>
    <w:qFormat/>
    <w:uiPriority w:val="0"/>
    <w:rPr>
      <w:b/>
      <w:bCs/>
    </w:rPr>
  </w:style>
  <w:style w:type="paragraph" w:styleId="20">
    <w:name w:val="Body Text First Indent 2"/>
    <w:basedOn w:val="10"/>
    <w:next w:val="1"/>
    <w:link w:val="37"/>
    <w:autoRedefine/>
    <w:qFormat/>
    <w:uiPriority w:val="0"/>
    <w:pPr>
      <w:spacing w:after="120"/>
      <w:ind w:left="420" w:leftChars="200" w:firstLine="210" w:firstLineChars="200"/>
    </w:pPr>
    <w:rPr>
      <w:rFonts w:ascii="宋体" w:hAnsi="宋体"/>
      <w:kern w:val="2"/>
      <w:sz w:val="28"/>
    </w:rPr>
  </w:style>
  <w:style w:type="character" w:styleId="23">
    <w:name w:val="Strong"/>
    <w:basedOn w:val="22"/>
    <w:qFormat/>
    <w:uiPriority w:val="99"/>
    <w:rPr>
      <w:b/>
    </w:rPr>
  </w:style>
  <w:style w:type="character" w:styleId="24">
    <w:name w:val="Hyperlink"/>
    <w:qFormat/>
    <w:uiPriority w:val="0"/>
    <w:rPr>
      <w:rFonts w:cs="Times New Roman"/>
      <w:color w:val="0000FF"/>
      <w:u w:val="single"/>
    </w:rPr>
  </w:style>
  <w:style w:type="character" w:styleId="25">
    <w:name w:val="annotation reference"/>
    <w:basedOn w:val="22"/>
    <w:qFormat/>
    <w:uiPriority w:val="0"/>
    <w:rPr>
      <w:sz w:val="21"/>
      <w:szCs w:val="21"/>
    </w:rPr>
  </w:style>
  <w:style w:type="paragraph" w:customStyle="1" w:styleId="26">
    <w:name w:val="正文1"/>
    <w:qFormat/>
    <w:uiPriority w:val="0"/>
    <w:rPr>
      <w:rFonts w:ascii="Times New Roman" w:hAnsi="Times New Roman" w:eastAsia="Times New Roman" w:cs="Times New Roman"/>
      <w:sz w:val="24"/>
      <w:szCs w:val="24"/>
      <w:lang w:val="en-US" w:eastAsia="zh-CN" w:bidi="ar-SA"/>
    </w:rPr>
  </w:style>
  <w:style w:type="paragraph" w:customStyle="1" w:styleId="27">
    <w:name w:val="Div_MsoNormal ParagraphIndent"/>
    <w:basedOn w:val="26"/>
    <w:qFormat/>
    <w:uiPriority w:val="0"/>
    <w:rPr>
      <w:rFonts w:ascii="宋体" w:hAnsi="宋体" w:eastAsia="宋体" w:cs="宋体"/>
      <w:sz w:val="21"/>
    </w:rPr>
  </w:style>
  <w:style w:type="paragraph" w:customStyle="1" w:styleId="28">
    <w:name w:val="Div_MsoNormal  ParagraphIndent"/>
    <w:basedOn w:val="26"/>
    <w:qFormat/>
    <w:uiPriority w:val="0"/>
    <w:rPr>
      <w:rFonts w:ascii="宋体" w:hAnsi="宋体" w:eastAsia="宋体" w:cs="宋体"/>
      <w:sz w:val="21"/>
    </w:rPr>
  </w:style>
  <w:style w:type="paragraph" w:customStyle="1" w:styleId="29">
    <w:name w:val="_Style 6"/>
    <w:basedOn w:val="3"/>
    <w:autoRedefine/>
    <w:qFormat/>
    <w:uiPriority w:val="0"/>
    <w:pPr>
      <w:outlineLvl w:val="9"/>
    </w:pPr>
  </w:style>
  <w:style w:type="paragraph" w:customStyle="1" w:styleId="30">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1">
    <w:name w:val="批注文字 Char"/>
    <w:basedOn w:val="22"/>
    <w:link w:val="9"/>
    <w:qFormat/>
    <w:uiPriority w:val="0"/>
    <w:rPr>
      <w:rFonts w:ascii="Calibri" w:hAnsi="Calibri"/>
      <w:kern w:val="2"/>
      <w:sz w:val="21"/>
      <w:szCs w:val="22"/>
    </w:rPr>
  </w:style>
  <w:style w:type="character" w:customStyle="1" w:styleId="32">
    <w:name w:val="批注主题 Char"/>
    <w:basedOn w:val="31"/>
    <w:link w:val="19"/>
    <w:qFormat/>
    <w:uiPriority w:val="0"/>
    <w:rPr>
      <w:rFonts w:ascii="Calibri" w:hAnsi="Calibri"/>
      <w:kern w:val="2"/>
      <w:sz w:val="21"/>
      <w:szCs w:val="22"/>
    </w:rPr>
  </w:style>
  <w:style w:type="character" w:customStyle="1" w:styleId="33">
    <w:name w:val="批注框文本 Char"/>
    <w:basedOn w:val="22"/>
    <w:link w:val="14"/>
    <w:qFormat/>
    <w:uiPriority w:val="0"/>
    <w:rPr>
      <w:rFonts w:ascii="Calibri" w:hAnsi="Calibri"/>
      <w:kern w:val="2"/>
      <w:sz w:val="18"/>
      <w:szCs w:val="18"/>
    </w:rPr>
  </w:style>
  <w:style w:type="paragraph" w:styleId="34">
    <w:name w:val="List Paragraph"/>
    <w:basedOn w:val="1"/>
    <w:unhideWhenUsed/>
    <w:qFormat/>
    <w:uiPriority w:val="99"/>
    <w:pPr>
      <w:ind w:firstLine="420" w:firstLineChars="200"/>
    </w:pPr>
  </w:style>
  <w:style w:type="paragraph" w:customStyle="1" w:styleId="35">
    <w:name w:val="表格文字"/>
    <w:basedOn w:val="1"/>
    <w:qFormat/>
    <w:uiPriority w:val="99"/>
    <w:pPr>
      <w:spacing w:before="25" w:after="25"/>
      <w:jc w:val="left"/>
    </w:pPr>
    <w:rPr>
      <w:bCs/>
      <w:spacing w:val="10"/>
      <w:kern w:val="0"/>
      <w:sz w:val="24"/>
    </w:rPr>
  </w:style>
  <w:style w:type="character" w:customStyle="1" w:styleId="36">
    <w:name w:val="正文文本缩进 Char"/>
    <w:basedOn w:val="22"/>
    <w:link w:val="10"/>
    <w:qFormat/>
    <w:uiPriority w:val="0"/>
    <w:rPr>
      <w:rFonts w:hint="default" w:ascii="Calibri" w:hAnsi="Calibri" w:cs="Calibri"/>
      <w:kern w:val="2"/>
      <w:sz w:val="21"/>
      <w:szCs w:val="22"/>
    </w:rPr>
  </w:style>
  <w:style w:type="character" w:customStyle="1" w:styleId="37">
    <w:name w:val="正文首行缩进 2 Char"/>
    <w:basedOn w:val="36"/>
    <w:link w:val="20"/>
    <w:qFormat/>
    <w:uiPriority w:val="0"/>
    <w:rPr>
      <w:rFonts w:hint="default" w:ascii="Calibri" w:hAnsi="Calibri" w:cs="Calibri"/>
      <w:kern w:val="2"/>
      <w:sz w:val="21"/>
      <w:szCs w:val="22"/>
    </w:rPr>
  </w:style>
  <w:style w:type="paragraph" w:customStyle="1" w:styleId="38">
    <w:name w:val="_Style 1"/>
    <w:basedOn w:val="1"/>
    <w:qFormat/>
    <w:uiPriority w:val="99"/>
    <w:pPr>
      <w:ind w:firstLine="420" w:firstLineChars="200"/>
    </w:pPr>
    <w:rPr>
      <w:rFonts w:ascii="Times New Roman" w:hAnsi="Times New Roman"/>
      <w:szCs w:val="20"/>
    </w:rPr>
  </w:style>
  <w:style w:type="character" w:customStyle="1" w:styleId="39">
    <w:name w:val="纯文本 Char"/>
    <w:link w:val="13"/>
    <w:qFormat/>
    <w:uiPriority w:val="99"/>
    <w:rPr>
      <w:rFonts w:ascii="宋体" w:hAnsi="Courier New" w:cs="Courier New"/>
      <w:kern w:val="2"/>
      <w:sz w:val="21"/>
      <w:szCs w:val="21"/>
    </w:rPr>
  </w:style>
  <w:style w:type="character" w:customStyle="1" w:styleId="40">
    <w:name w:val="font71"/>
    <w:basedOn w:val="22"/>
    <w:qFormat/>
    <w:uiPriority w:val="0"/>
    <w:rPr>
      <w:rFonts w:hint="eastAsia" w:ascii="宋体" w:hAnsi="宋体" w:eastAsia="宋体" w:cs="宋体"/>
      <w:color w:val="000000"/>
      <w:sz w:val="24"/>
      <w:szCs w:val="24"/>
      <w:u w:val="none"/>
    </w:rPr>
  </w:style>
  <w:style w:type="paragraph" w:customStyle="1" w:styleId="41">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2">
    <w:name w:val="font11"/>
    <w:basedOn w:val="22"/>
    <w:qFormat/>
    <w:uiPriority w:val="0"/>
    <w:rPr>
      <w:rFonts w:hint="eastAsia" w:ascii="宋体" w:hAnsi="宋体" w:eastAsia="宋体" w:cs="宋体"/>
      <w:color w:val="000000"/>
      <w:sz w:val="22"/>
      <w:szCs w:val="22"/>
      <w:u w:val="none"/>
    </w:rPr>
  </w:style>
  <w:style w:type="paragraph" w:customStyle="1" w:styleId="43">
    <w:name w:val="Default"/>
    <w:next w:val="44"/>
    <w:qFormat/>
    <w:uiPriority w:val="0"/>
    <w:pPr>
      <w:widowControl w:val="0"/>
      <w:autoSpaceDE w:val="0"/>
      <w:autoSpaceDN w:val="0"/>
      <w:adjustRightInd w:val="0"/>
      <w:jc w:val="left"/>
    </w:pPr>
    <w:rPr>
      <w:rFonts w:ascii="Times New Roman" w:hAnsi="Times New Roman" w:eastAsia="宋体" w:cs="Calibri"/>
      <w:color w:val="000000"/>
      <w:kern w:val="0"/>
      <w:sz w:val="24"/>
      <w:szCs w:val="24"/>
      <w:lang w:val="en-US" w:eastAsia="zh-CN" w:bidi="ar-SA"/>
    </w:rPr>
  </w:style>
  <w:style w:type="paragraph" w:customStyle="1" w:styleId="4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3379</Words>
  <Characters>3489</Characters>
  <Lines>29</Lines>
  <Paragraphs>8</Paragraphs>
  <TotalTime>0</TotalTime>
  <ScaleCrop>false</ScaleCrop>
  <LinksUpToDate>false</LinksUpToDate>
  <CharactersWithSpaces>3512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芥川</cp:lastModifiedBy>
  <dcterms:modified xsi:type="dcterms:W3CDTF">2025-06-26T08:49:13Z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C9C0517EFBCF421CA24B49ACBF3210DE_13</vt:lpwstr>
  </property>
  <property fmtid="{D5CDD505-2E9C-101B-9397-08002B2CF9AE}" pid="4" name="KSOTemplateDocerSaveRecord">
    <vt:lpwstr>eyJoZGlkIjoiZmM3ZTQ3ZmYxY2MzYTFkODg2OTU0YmEwZmQzMGYyZDkiLCJ1c2VySWQiOiIyNTM3MzMxNjMifQ==</vt:lpwstr>
  </property>
</Properties>
</file>