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AAA3A">
      <w:pPr>
        <w:pStyle w:val="7"/>
        <w:snapToGrid w:val="0"/>
        <w:spacing w:before="120" w:after="120" w:line="340" w:lineRule="exact"/>
        <w:jc w:val="center"/>
        <w:outlineLvl w:val="0"/>
        <w:rPr>
          <w:rFonts w:hint="default" w:hAnsi="宋体"/>
          <w:sz w:val="32"/>
          <w:szCs w:val="40"/>
          <w:lang w:val="en-US" w:eastAsia="zh-CN"/>
        </w:rPr>
      </w:pPr>
      <w:bookmarkStart w:id="0" w:name="_Toc67586436"/>
      <w:r>
        <w:rPr>
          <w:rFonts w:hint="eastAsia" w:hAnsi="宋体"/>
          <w:sz w:val="32"/>
          <w:szCs w:val="40"/>
          <w:lang w:val="en-US" w:eastAsia="zh-CN"/>
        </w:rPr>
        <w:t>广西医科大学第一附属医院变配电系统维保服务</w:t>
      </w:r>
    </w:p>
    <w:p w14:paraId="41893038">
      <w:pPr>
        <w:pStyle w:val="7"/>
        <w:snapToGrid w:val="0"/>
        <w:spacing w:before="120" w:after="120" w:line="340" w:lineRule="exact"/>
        <w:jc w:val="center"/>
        <w:outlineLvl w:val="0"/>
        <w:rPr>
          <w:rFonts w:hint="eastAsia" w:hAnsi="宋体"/>
          <w:sz w:val="32"/>
          <w:szCs w:val="40"/>
        </w:rPr>
      </w:pPr>
      <w:r>
        <w:rPr>
          <w:rFonts w:hint="eastAsia" w:hAnsi="宋体"/>
          <w:sz w:val="32"/>
          <w:szCs w:val="40"/>
        </w:rPr>
        <w:t>采购需求</w:t>
      </w:r>
      <w:bookmarkEnd w:id="0"/>
    </w:p>
    <w:p w14:paraId="577D5DBB">
      <w:pPr>
        <w:pStyle w:val="7"/>
        <w:snapToGrid w:val="0"/>
        <w:spacing w:before="120" w:after="120" w:line="340" w:lineRule="exact"/>
        <w:jc w:val="left"/>
        <w:outlineLvl w:val="0"/>
        <w:rPr>
          <w:rFonts w:hint="eastAsia" w:hAnsi="宋体"/>
          <w:b/>
          <w:bCs/>
          <w:sz w:val="22"/>
          <w:szCs w:val="22"/>
          <w:lang w:val="en-US" w:eastAsia="zh-CN"/>
        </w:rPr>
      </w:pPr>
    </w:p>
    <w:p w14:paraId="47203C0C">
      <w:pPr>
        <w:pStyle w:val="7"/>
        <w:snapToGrid w:val="0"/>
        <w:spacing w:before="120" w:after="120" w:line="340" w:lineRule="exact"/>
        <w:jc w:val="left"/>
        <w:outlineLvl w:val="0"/>
        <w:rPr>
          <w:rFonts w:hint="eastAsia" w:hAnsi="宋体"/>
          <w:b w:val="0"/>
          <w:bCs w:val="0"/>
          <w:sz w:val="24"/>
          <w:szCs w:val="24"/>
          <w:lang w:val="en-US" w:eastAsia="zh-CN"/>
        </w:rPr>
      </w:pPr>
      <w:r>
        <w:rPr>
          <w:rFonts w:hint="eastAsia" w:hAnsi="宋体"/>
          <w:b w:val="0"/>
          <w:bCs w:val="0"/>
          <w:sz w:val="24"/>
          <w:szCs w:val="24"/>
          <w:lang w:val="en-US" w:eastAsia="zh-CN"/>
        </w:rPr>
        <w:t>供应商资格要求：</w:t>
      </w:r>
    </w:p>
    <w:p w14:paraId="3A103518">
      <w:pPr>
        <w:pStyle w:val="7"/>
        <w:snapToGrid w:val="0"/>
        <w:spacing w:before="120" w:after="120" w:line="340" w:lineRule="exact"/>
        <w:jc w:val="left"/>
        <w:outlineLvl w:val="0"/>
        <w:rPr>
          <w:rFonts w:hint="eastAsia" w:hAnsi="宋体"/>
          <w:b w:val="0"/>
          <w:bCs w:val="0"/>
          <w:sz w:val="24"/>
          <w:szCs w:val="24"/>
          <w:lang w:val="en-US" w:eastAsia="zh-CN"/>
        </w:rPr>
      </w:pPr>
      <w:r>
        <w:rPr>
          <w:rFonts w:hint="eastAsia" w:hAnsi="宋体"/>
          <w:b w:val="0"/>
          <w:bCs w:val="0"/>
          <w:sz w:val="24"/>
          <w:szCs w:val="24"/>
          <w:lang w:val="en-US" w:eastAsia="zh-CN"/>
        </w:rPr>
        <w:t>1、满足《中华人民共和国政府采购法》第二十二条规定；</w:t>
      </w:r>
    </w:p>
    <w:p w14:paraId="0F5B4B89">
      <w:pPr>
        <w:pStyle w:val="7"/>
        <w:snapToGrid w:val="0"/>
        <w:spacing w:before="120" w:after="120" w:line="340" w:lineRule="exact"/>
        <w:jc w:val="left"/>
        <w:outlineLvl w:val="0"/>
        <w:rPr>
          <w:rFonts w:hint="eastAsia" w:hAnsi="宋体"/>
          <w:b w:val="0"/>
          <w:bCs w:val="0"/>
          <w:sz w:val="24"/>
          <w:szCs w:val="24"/>
          <w:lang w:val="en-US" w:eastAsia="zh-CN"/>
        </w:rPr>
      </w:pPr>
      <w:r>
        <w:rPr>
          <w:rFonts w:hint="eastAsia" w:hAnsi="宋体"/>
          <w:b w:val="0"/>
          <w:bCs w:val="0"/>
          <w:sz w:val="24"/>
          <w:szCs w:val="24"/>
          <w:lang w:val="en-US" w:eastAsia="zh-CN"/>
        </w:rPr>
        <w:t>2、本项目的特定资格要求：供应商具有承装(修、试)类四级及以上《承装(修、试)电力设施许可证》。</w:t>
      </w:r>
    </w:p>
    <w:p w14:paraId="14A22FB4">
      <w:pPr>
        <w:pStyle w:val="7"/>
        <w:snapToGrid w:val="0"/>
        <w:spacing w:before="120" w:after="120" w:line="340" w:lineRule="exact"/>
        <w:jc w:val="left"/>
        <w:outlineLvl w:val="0"/>
        <w:rPr>
          <w:rFonts w:hint="eastAsia" w:hAnsi="宋体"/>
          <w:b w:val="0"/>
          <w:bCs w:val="0"/>
          <w:sz w:val="24"/>
          <w:szCs w:val="24"/>
          <w:lang w:val="en-US" w:eastAsia="zh-CN"/>
        </w:rPr>
      </w:pPr>
      <w:r>
        <w:rPr>
          <w:rFonts w:hint="eastAsia" w:hAnsi="宋体"/>
          <w:b w:val="0"/>
          <w:bCs w:val="0"/>
          <w:sz w:val="24"/>
          <w:szCs w:val="24"/>
          <w:lang w:val="en-US" w:eastAsia="zh-CN"/>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4FBD0808">
      <w:pPr>
        <w:pStyle w:val="7"/>
        <w:snapToGrid w:val="0"/>
        <w:spacing w:before="120" w:after="120" w:line="340" w:lineRule="exact"/>
        <w:jc w:val="left"/>
        <w:outlineLvl w:val="0"/>
        <w:rPr>
          <w:rFonts w:hint="eastAsia" w:hAnsi="宋体"/>
          <w:b w:val="0"/>
          <w:bCs w:val="0"/>
          <w:sz w:val="24"/>
          <w:szCs w:val="24"/>
          <w:lang w:val="en-US" w:eastAsia="zh-CN"/>
        </w:rPr>
      </w:pPr>
      <w:r>
        <w:rPr>
          <w:rFonts w:hint="eastAsia" w:hAnsi="宋体"/>
          <w:b w:val="0"/>
          <w:bCs w:val="0"/>
          <w:sz w:val="24"/>
          <w:szCs w:val="24"/>
          <w:lang w:val="en-US" w:eastAsia="zh-CN"/>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p w14:paraId="630E9591">
      <w:pPr>
        <w:pStyle w:val="7"/>
        <w:snapToGrid w:val="0"/>
        <w:spacing w:before="120" w:after="120" w:line="340" w:lineRule="exact"/>
        <w:jc w:val="left"/>
        <w:outlineLvl w:val="0"/>
        <w:rPr>
          <w:rFonts w:hint="eastAsia" w:hAnsi="宋体"/>
          <w:b w:val="0"/>
          <w:bCs w:val="0"/>
          <w:sz w:val="22"/>
          <w:szCs w:val="22"/>
          <w:lang w:val="en-US" w:eastAsia="zh-CN"/>
        </w:rPr>
      </w:pPr>
    </w:p>
    <w:tbl>
      <w:tblPr>
        <w:tblStyle w:val="1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3"/>
        <w:gridCol w:w="791"/>
        <w:gridCol w:w="450"/>
        <w:gridCol w:w="6828"/>
      </w:tblGrid>
      <w:tr w14:paraId="2503C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top"/>
          </w:tcPr>
          <w:p w14:paraId="3E75C8BA">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采购需求</w:t>
            </w:r>
          </w:p>
        </w:tc>
      </w:tr>
      <w:tr w14:paraId="6DD1F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top"/>
          </w:tcPr>
          <w:p w14:paraId="011D8A0F">
            <w:pPr>
              <w:pStyle w:val="7"/>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一、项目需求及技术要求</w:t>
            </w:r>
          </w:p>
        </w:tc>
      </w:tr>
      <w:tr w14:paraId="42F9F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5" w:type="pct"/>
            <w:tcBorders>
              <w:top w:val="single" w:color="auto" w:sz="4" w:space="0"/>
              <w:left w:val="single" w:color="auto" w:sz="4" w:space="0"/>
              <w:bottom w:val="single" w:color="auto" w:sz="4" w:space="0"/>
              <w:right w:val="single" w:color="auto" w:sz="4" w:space="0"/>
            </w:tcBorders>
            <w:noWrap w:val="0"/>
            <w:vAlign w:val="center"/>
          </w:tcPr>
          <w:p w14:paraId="00800613">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464" w:type="pct"/>
            <w:tcBorders>
              <w:top w:val="single" w:color="auto" w:sz="4" w:space="0"/>
              <w:left w:val="single" w:color="auto" w:sz="4" w:space="0"/>
              <w:bottom w:val="single" w:color="auto" w:sz="4" w:space="0"/>
              <w:right w:val="single" w:color="auto" w:sz="4" w:space="0"/>
            </w:tcBorders>
            <w:noWrap w:val="0"/>
            <w:vAlign w:val="center"/>
          </w:tcPr>
          <w:p w14:paraId="28D29838">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服务名称</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2F6D4A36">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4006" w:type="pct"/>
            <w:tcBorders>
              <w:top w:val="single" w:color="auto" w:sz="4" w:space="0"/>
              <w:left w:val="single" w:color="auto" w:sz="4" w:space="0"/>
              <w:bottom w:val="single" w:color="auto" w:sz="4" w:space="0"/>
              <w:right w:val="single" w:color="auto" w:sz="4" w:space="0"/>
            </w:tcBorders>
            <w:noWrap w:val="0"/>
            <w:vAlign w:val="center"/>
          </w:tcPr>
          <w:p w14:paraId="7B55D23E">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项目需求及服务(技术)要求</w:t>
            </w:r>
          </w:p>
        </w:tc>
      </w:tr>
      <w:tr w14:paraId="28C19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65" w:type="pct"/>
            <w:tcBorders>
              <w:top w:val="single" w:color="auto" w:sz="4" w:space="0"/>
              <w:left w:val="single" w:color="auto" w:sz="4" w:space="0"/>
              <w:bottom w:val="single" w:color="auto" w:sz="4" w:space="0"/>
              <w:right w:val="single" w:color="auto" w:sz="4" w:space="0"/>
            </w:tcBorders>
            <w:noWrap w:val="0"/>
            <w:vAlign w:val="center"/>
          </w:tcPr>
          <w:p w14:paraId="177090DD">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64" w:type="pct"/>
            <w:tcBorders>
              <w:top w:val="single" w:color="auto" w:sz="4" w:space="0"/>
              <w:left w:val="single" w:color="auto" w:sz="4" w:space="0"/>
              <w:bottom w:val="single" w:color="auto" w:sz="4" w:space="0"/>
              <w:right w:val="single" w:color="auto" w:sz="4" w:space="0"/>
            </w:tcBorders>
            <w:noWrap w:val="0"/>
            <w:vAlign w:val="center"/>
          </w:tcPr>
          <w:p w14:paraId="6ED74D88">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变配电系统维保服务</w:t>
            </w:r>
          </w:p>
        </w:tc>
        <w:tc>
          <w:tcPr>
            <w:tcW w:w="264" w:type="pct"/>
            <w:tcBorders>
              <w:top w:val="single" w:color="auto" w:sz="4" w:space="0"/>
              <w:left w:val="single" w:color="auto" w:sz="4" w:space="0"/>
              <w:bottom w:val="single" w:color="auto" w:sz="4" w:space="0"/>
              <w:right w:val="single" w:color="auto" w:sz="4" w:space="0"/>
            </w:tcBorders>
            <w:noWrap w:val="0"/>
            <w:vAlign w:val="center"/>
          </w:tcPr>
          <w:p w14:paraId="26C3E4FC">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w:t>
            </w:r>
          </w:p>
        </w:tc>
        <w:tc>
          <w:tcPr>
            <w:tcW w:w="4006" w:type="pct"/>
            <w:tcBorders>
              <w:top w:val="single" w:color="auto" w:sz="4" w:space="0"/>
              <w:left w:val="single" w:color="auto" w:sz="4" w:space="0"/>
              <w:bottom w:val="single" w:color="auto" w:sz="4" w:space="0"/>
              <w:right w:val="single" w:color="auto" w:sz="4" w:space="0"/>
            </w:tcBorders>
            <w:noWrap w:val="0"/>
            <w:vAlign w:val="center"/>
          </w:tcPr>
          <w:p w14:paraId="7354F246">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bookmarkStart w:id="1" w:name="_Toc16208"/>
            <w:bookmarkStart w:id="2" w:name="_Toc4853"/>
            <w:r>
              <w:rPr>
                <w:rFonts w:hint="eastAsia" w:ascii="宋体" w:hAnsi="宋体" w:eastAsia="宋体" w:cs="宋体"/>
                <w:b/>
                <w:bCs/>
                <w:kern w:val="2"/>
                <w:sz w:val="24"/>
                <w:szCs w:val="24"/>
                <w:lang w:val="en-US" w:eastAsia="zh-CN" w:bidi="ar-SA"/>
              </w:rPr>
              <w:t>一、</w:t>
            </w:r>
            <w:r>
              <w:rPr>
                <w:rFonts w:hint="eastAsia" w:ascii="宋体" w:hAnsi="宋体" w:eastAsia="宋体" w:cs="宋体"/>
                <w:b/>
                <w:bCs/>
                <w:sz w:val="24"/>
                <w:szCs w:val="24"/>
                <w:lang w:val="en-US" w:eastAsia="zh-CN"/>
              </w:rPr>
              <w:t>项目概述</w:t>
            </w:r>
          </w:p>
          <w:p w14:paraId="1516630B">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1、服务对象：广西医科大学第一附属医院。</w:t>
            </w:r>
          </w:p>
          <w:p w14:paraId="0EC6BCB2">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2、服务内容：包含24小时值班服务及电气设备巡检服务，确保医院配电房电气设备24小时安全、稳定运行，做到及时应对各类突发电气故障，保障医院医疗工作及日常运转的电力供应。</w:t>
            </w:r>
            <w:r>
              <w:rPr>
                <w:rFonts w:hint="eastAsia" w:ascii="宋体" w:hAnsi="宋体" w:cs="宋体"/>
                <w:sz w:val="24"/>
                <w:szCs w:val="24"/>
                <w:lang w:val="en-US" w:eastAsia="zh-CN"/>
              </w:rPr>
              <w:t>供应商提供服务应符合《医疗和疾控机构后勤安全生产工作管理指南（2023年版）》等相关法律法规、行业规范的最新标准。</w:t>
            </w:r>
          </w:p>
          <w:p w14:paraId="53A70FE0">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3、服务时间：一年。</w:t>
            </w:r>
          </w:p>
          <w:p w14:paraId="236FCB3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二、人员要求</w:t>
            </w:r>
          </w:p>
          <w:p w14:paraId="7CCC015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1、人员配置：安排不少于7名专业且经验丰富的电工，确保24</w:t>
            </w:r>
            <w:bookmarkStart w:id="14" w:name="_GoBack"/>
            <w:bookmarkEnd w:id="14"/>
            <w:r>
              <w:rPr>
                <w:rFonts w:hint="eastAsia" w:ascii="宋体" w:hAnsi="宋体" w:eastAsia="宋体" w:cs="宋体"/>
                <w:b w:val="0"/>
                <w:bCs w:val="0"/>
                <w:sz w:val="24"/>
                <w:szCs w:val="24"/>
                <w:lang w:val="en-US" w:eastAsia="zh-CN"/>
              </w:rPr>
              <w:t>小时不间断值班。至少7名值班人员持有《高压电工作业》操作证、具备丰富故障处理经验以及熟悉医院电气系统。值班人员需保持通讯畅通，对采购人的要求做到立刻响应。</w:t>
            </w:r>
          </w:p>
          <w:p w14:paraId="70A1F9BD">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2、排班方式：实行三班倒制度，早班08:00 - 16:00，中班16:00 - 00:00，晚班00:00 - 08:00。每班安排至少两名人员值班，每周日进行班次轮换，按照早班 - 中班 - 晚班 - 休息的顺序循环，保障每位电工都能合理休息并均匀承担各时段工作任务。</w:t>
            </w:r>
          </w:p>
          <w:p w14:paraId="1EBBDBEE">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3、值班人员岗位职责：</w:t>
            </w:r>
          </w:p>
          <w:p w14:paraId="568F3947">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（1）主值班电工：全面负责当值期间配电房运行管理，监督副值班电工工作，审核设备巡检记录，及时协调处理突发电气故障，与医院其他部门及外部供电单位进行有效沟通联络。</w:t>
            </w:r>
          </w:p>
          <w:p w14:paraId="1AE70A7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（2）副值班电工：协助主值班电工开展工作，按规定进行设备巡检、抄表记录，严格执行设备操作指令，维护配电房环境卫生，一旦发现异常及时报告主值班电工。</w:t>
            </w:r>
          </w:p>
          <w:p w14:paraId="2329DAC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4、未经采购人书面同意，供应商不得擅自变更驻场服务人员，如因特殊原因需更换人员，应提交替换人员的资料由采购人审核，投标人保证替换人员的技术水平、资历条件不得降低。</w:t>
            </w:r>
          </w:p>
          <w:p w14:paraId="11195A17">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5、采购人有权对供应商的服务工作及人员进行监督管理、检查和指导，有权要求供应商对不能全面正确履行职责的人员进行批评教育和更换。</w:t>
            </w:r>
          </w:p>
          <w:p w14:paraId="66AEB2EB">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6、签订合同后一个月内，中标供应商应将投入该项目的实施人员名单及身份证、证书、职称等资质证明、劳动合同或劳务合同、社保缴费证明（如有）等资料复印件提交采购人备案。</w:t>
            </w:r>
          </w:p>
          <w:p w14:paraId="406A86F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三、电气设备巡检服务要求</w:t>
            </w:r>
          </w:p>
          <w:p w14:paraId="1CC1060A">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1、设备巡检要求：</w:t>
            </w:r>
          </w:p>
          <w:p w14:paraId="25876ED6">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（1）早班：08:30 - 09:30进行全面设备巡检，包括高低压开关柜、变压器、直流屏等，记录设备运行参数，如电压、电流、温度等。</w:t>
            </w:r>
          </w:p>
          <w:p w14:paraId="63A03942">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（2）中班：16:30 - 17:30对重点设备（如：变压器）再次巡检，查看运行状况有无变化。</w:t>
            </w:r>
          </w:p>
          <w:p w14:paraId="7663FF2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（3）晚班：02:00 - 03:00进行夜间巡检，重点检查设备有无异常声响、异味、放电等情况。</w:t>
            </w:r>
          </w:p>
          <w:p w14:paraId="281AF53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2、具体巡检内容：</w:t>
            </w:r>
          </w:p>
          <w:bookmarkEnd w:id="1"/>
          <w:bookmarkEnd w:id="2"/>
          <w:tbl>
            <w:tblPr>
              <w:tblStyle w:val="13"/>
              <w:tblW w:w="4999"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5177"/>
            </w:tblGrid>
            <w:tr w14:paraId="4AB32C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66" w:type="pct"/>
                  <w:tcBorders>
                    <w:tl2br w:val="nil"/>
                    <w:tr2bl w:val="nil"/>
                  </w:tcBorders>
                  <w:vAlign w:val="center"/>
                </w:tcPr>
                <w:p w14:paraId="35D539FA">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lang w:eastAsia="zh-CN"/>
                    </w:rPr>
                  </w:pPr>
                  <w:r>
                    <w:rPr>
                      <w:rFonts w:hint="eastAsia" w:ascii="宋体" w:hAnsi="宋体" w:eastAsia="宋体" w:cs="宋体"/>
                      <w:i w:val="0"/>
                      <w:iCs w:val="0"/>
                      <w:sz w:val="24"/>
                      <w:szCs w:val="24"/>
                      <w:highlight w:val="none"/>
                      <w:vertAlign w:val="baseline"/>
                      <w:lang w:eastAsia="zh-CN"/>
                    </w:rPr>
                    <w:t>设备名称</w:t>
                  </w:r>
                </w:p>
              </w:tc>
              <w:tc>
                <w:tcPr>
                  <w:tcW w:w="3933" w:type="pct"/>
                  <w:tcBorders>
                    <w:tl2br w:val="nil"/>
                    <w:tr2bl w:val="nil"/>
                  </w:tcBorders>
                  <w:vAlign w:val="center"/>
                </w:tcPr>
                <w:p w14:paraId="695FA873">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b/>
                      <w:bCs/>
                      <w:i w:val="0"/>
                      <w:iCs w:val="0"/>
                      <w:sz w:val="24"/>
                      <w:szCs w:val="24"/>
                      <w:highlight w:val="none"/>
                      <w:vertAlign w:val="baseline"/>
                      <w:lang w:eastAsia="zh-CN"/>
                    </w:rPr>
                  </w:pPr>
                  <w:r>
                    <w:rPr>
                      <w:rFonts w:hint="eastAsia" w:ascii="宋体" w:hAnsi="宋体" w:eastAsia="宋体" w:cs="宋体"/>
                      <w:b/>
                      <w:bCs/>
                      <w:i w:val="0"/>
                      <w:iCs w:val="0"/>
                      <w:sz w:val="24"/>
                      <w:szCs w:val="24"/>
                      <w:highlight w:val="none"/>
                      <w:vertAlign w:val="baseline"/>
                      <w:lang w:eastAsia="zh-CN"/>
                    </w:rPr>
                    <w:t>巡检内容</w:t>
                  </w:r>
                </w:p>
              </w:tc>
            </w:tr>
            <w:tr w14:paraId="6D512F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66" w:type="pct"/>
                  <w:vMerge w:val="restart"/>
                  <w:tcBorders>
                    <w:tl2br w:val="nil"/>
                    <w:tr2bl w:val="nil"/>
                  </w:tcBorders>
                  <w:vAlign w:val="center"/>
                </w:tcPr>
                <w:p w14:paraId="4BB7E4A7">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干式变压器</w:t>
                  </w:r>
                </w:p>
              </w:tc>
              <w:tc>
                <w:tcPr>
                  <w:tcW w:w="3933" w:type="pct"/>
                  <w:tcBorders>
                    <w:tl2br w:val="nil"/>
                    <w:tr2bl w:val="nil"/>
                  </w:tcBorders>
                  <w:vAlign w:val="center"/>
                </w:tcPr>
                <w:p w14:paraId="75891AA8">
                  <w:pPr>
                    <w:keepNext w:val="0"/>
                    <w:keepLines w:val="0"/>
                    <w:pageBreakBefore w:val="0"/>
                    <w:widowControl w:val="0"/>
                    <w:kinsoku/>
                    <w:wordWrap/>
                    <w:overflowPunct/>
                    <w:topLinePunct w:val="0"/>
                    <w:autoSpaceDE/>
                    <w:autoSpaceDN/>
                    <w:bidi w:val="0"/>
                    <w:adjustRightInd/>
                    <w:spacing w:line="360" w:lineRule="auto"/>
                    <w:jc w:val="left"/>
                    <w:rPr>
                      <w:rFonts w:hint="eastAsia" w:ascii="宋体" w:hAnsi="宋体" w:eastAsia="宋体" w:cs="宋体"/>
                      <w:i w:val="0"/>
                      <w:iCs w:val="0"/>
                      <w:sz w:val="24"/>
                      <w:szCs w:val="24"/>
                      <w:highlight w:val="none"/>
                      <w:vertAlign w:val="baseline"/>
                      <w:lang w:val="en-US" w:eastAsia="zh-CN"/>
                    </w:rPr>
                  </w:pPr>
                  <w:r>
                    <w:rPr>
                      <w:rFonts w:hint="eastAsia" w:ascii="宋体" w:hAnsi="宋体" w:eastAsia="宋体" w:cs="宋体"/>
                      <w:i w:val="0"/>
                      <w:iCs w:val="0"/>
                      <w:sz w:val="24"/>
                      <w:szCs w:val="24"/>
                      <w:highlight w:val="none"/>
                      <w:vertAlign w:val="baseline"/>
                      <w:lang w:val="en-US" w:eastAsia="zh-CN"/>
                    </w:rPr>
                    <w:t>1.</w:t>
                  </w:r>
                  <w:r>
                    <w:rPr>
                      <w:rFonts w:hint="eastAsia" w:ascii="宋体" w:hAnsi="宋体" w:eastAsia="宋体" w:cs="宋体"/>
                      <w:color w:val="auto"/>
                      <w:sz w:val="24"/>
                      <w:szCs w:val="24"/>
                      <w:highlight w:val="none"/>
                    </w:rPr>
                    <w:t>外观检查变压器有无积尘、绕组绝缘有无破裂、支柱绝缘子有无破裂。</w:t>
                  </w:r>
                </w:p>
              </w:tc>
            </w:tr>
            <w:tr w14:paraId="3AF234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66" w:type="pct"/>
                  <w:vMerge w:val="continue"/>
                  <w:tcBorders>
                    <w:tl2br w:val="nil"/>
                    <w:tr2bl w:val="nil"/>
                  </w:tcBorders>
                  <w:vAlign w:val="center"/>
                </w:tcPr>
                <w:p w14:paraId="17A93C56">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4E390302">
                  <w:pPr>
                    <w:keepNext w:val="0"/>
                    <w:keepLines w:val="0"/>
                    <w:pageBreakBefore w:val="0"/>
                    <w:widowControl w:val="0"/>
                    <w:kinsoku/>
                    <w:wordWrap/>
                    <w:overflowPunct/>
                    <w:topLinePunct w:val="0"/>
                    <w:autoSpaceDE/>
                    <w:autoSpaceDN/>
                    <w:bidi w:val="0"/>
                    <w:adjustRightInd/>
                    <w:spacing w:line="360" w:lineRule="auto"/>
                    <w:jc w:val="left"/>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变压器负荷监测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变压器三相电流、电压是否平衡、是否超额定负荷。</w:t>
                  </w:r>
                </w:p>
              </w:tc>
            </w:tr>
            <w:tr w14:paraId="58C53C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66" w:type="pct"/>
                  <w:vMerge w:val="continue"/>
                  <w:tcBorders>
                    <w:tl2br w:val="nil"/>
                    <w:tr2bl w:val="nil"/>
                  </w:tcBorders>
                  <w:vAlign w:val="center"/>
                </w:tcPr>
                <w:p w14:paraId="39B7774C">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67B139EF">
                  <w:pPr>
                    <w:keepNext w:val="0"/>
                    <w:keepLines w:val="0"/>
                    <w:pageBreakBefore w:val="0"/>
                    <w:widowControl w:val="0"/>
                    <w:kinsoku/>
                    <w:wordWrap/>
                    <w:overflowPunct/>
                    <w:topLinePunct w:val="0"/>
                    <w:autoSpaceDE/>
                    <w:autoSpaceDN/>
                    <w:bidi w:val="0"/>
                    <w:adjustRightInd/>
                    <w:spacing w:line="360" w:lineRule="auto"/>
                    <w:jc w:val="left"/>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高、低压接线柱有无安装绝缘护套、测温仪检测接点有无发热现象。</w:t>
                  </w:r>
                </w:p>
              </w:tc>
            </w:tr>
            <w:tr w14:paraId="1FB982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continue"/>
                  <w:tcBorders>
                    <w:tl2br w:val="nil"/>
                    <w:tr2bl w:val="nil"/>
                  </w:tcBorders>
                  <w:vAlign w:val="center"/>
                </w:tcPr>
                <w:p w14:paraId="27E0F701">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16894E46">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lang w:val="en-US" w:eastAsia="zh-CN"/>
                    </w:rPr>
                    <w:t>4.</w:t>
                  </w:r>
                  <w:r>
                    <w:rPr>
                      <w:rFonts w:hint="eastAsia" w:ascii="宋体" w:hAnsi="宋体" w:eastAsia="宋体" w:cs="宋体"/>
                      <w:color w:val="auto"/>
                      <w:sz w:val="24"/>
                      <w:szCs w:val="24"/>
                      <w:highlight w:val="none"/>
                    </w:rPr>
                    <w:t>变压器运行声音</w:t>
                  </w:r>
                  <w:r>
                    <w:rPr>
                      <w:rFonts w:hint="eastAsia" w:ascii="宋体" w:hAnsi="宋体" w:eastAsia="宋体" w:cs="宋体"/>
                      <w:color w:val="auto"/>
                      <w:sz w:val="24"/>
                      <w:szCs w:val="24"/>
                      <w:highlight w:val="none"/>
                      <w:lang w:eastAsia="zh-CN"/>
                    </w:rPr>
                    <w:t>有无异响。</w:t>
                  </w:r>
                </w:p>
              </w:tc>
            </w:tr>
            <w:tr w14:paraId="080C35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continue"/>
                  <w:tcBorders>
                    <w:tl2br w:val="nil"/>
                    <w:tr2bl w:val="nil"/>
                  </w:tcBorders>
                  <w:vAlign w:val="center"/>
                </w:tcPr>
                <w:p w14:paraId="5101F5B2">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7029DD08">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lang w:val="en-US" w:eastAsia="zh-CN"/>
                    </w:rPr>
                    <w:t>5.用</w:t>
                  </w:r>
                  <w:r>
                    <w:rPr>
                      <w:rFonts w:hint="eastAsia" w:ascii="宋体" w:hAnsi="宋体" w:eastAsia="宋体" w:cs="宋体"/>
                      <w:color w:val="auto"/>
                      <w:sz w:val="24"/>
                      <w:szCs w:val="24"/>
                      <w:highlight w:val="none"/>
                    </w:rPr>
                    <w:t>专业仪器检测</w:t>
                  </w:r>
                  <w:r>
                    <w:rPr>
                      <w:rFonts w:hint="eastAsia" w:ascii="宋体" w:hAnsi="宋体" w:eastAsia="宋体" w:cs="宋体"/>
                      <w:color w:val="auto"/>
                      <w:sz w:val="24"/>
                      <w:szCs w:val="24"/>
                      <w:highlight w:val="none"/>
                      <w:lang w:eastAsia="zh-CN"/>
                    </w:rPr>
                    <w:t>变压器</w:t>
                  </w:r>
                  <w:r>
                    <w:rPr>
                      <w:rFonts w:hint="eastAsia" w:ascii="宋体" w:hAnsi="宋体" w:eastAsia="宋体" w:cs="宋体"/>
                      <w:color w:val="auto"/>
                      <w:sz w:val="24"/>
                      <w:szCs w:val="24"/>
                      <w:highlight w:val="none"/>
                    </w:rPr>
                    <w:t>铁芯温度（铁芯温度＜120℃）。</w:t>
                  </w:r>
                </w:p>
              </w:tc>
            </w:tr>
            <w:tr w14:paraId="4E5A17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66" w:type="pct"/>
                  <w:vMerge w:val="continue"/>
                  <w:tcBorders>
                    <w:tl2br w:val="nil"/>
                    <w:tr2bl w:val="nil"/>
                  </w:tcBorders>
                  <w:vAlign w:val="center"/>
                </w:tcPr>
                <w:p w14:paraId="743D4FA4">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2116411B">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lang w:val="en-US" w:eastAsia="zh-CN"/>
                    </w:rPr>
                    <w:t>6.</w:t>
                  </w:r>
                  <w:r>
                    <w:rPr>
                      <w:rFonts w:hint="eastAsia" w:ascii="宋体" w:hAnsi="宋体" w:eastAsia="宋体" w:cs="宋体"/>
                      <w:color w:val="auto"/>
                      <w:sz w:val="24"/>
                      <w:szCs w:val="24"/>
                      <w:highlight w:val="none"/>
                    </w:rPr>
                    <w:t>变压器温控仪运行是否正常，温度显示是否正确。</w:t>
                  </w:r>
                </w:p>
              </w:tc>
            </w:tr>
            <w:tr w14:paraId="54FE6F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66" w:type="pct"/>
                  <w:vMerge w:val="continue"/>
                  <w:tcBorders>
                    <w:tl2br w:val="nil"/>
                    <w:tr2bl w:val="nil"/>
                  </w:tcBorders>
                  <w:vAlign w:val="center"/>
                </w:tcPr>
                <w:p w14:paraId="2B513B8E">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231E837D">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sz w:val="24"/>
                      <w:szCs w:val="24"/>
                      <w:highlight w:val="none"/>
                      <w:vertAlign w:val="baseline"/>
                      <w:lang w:val="en-US" w:eastAsia="zh-CN"/>
                    </w:rPr>
                  </w:pPr>
                  <w:r>
                    <w:rPr>
                      <w:rFonts w:hint="eastAsia" w:ascii="宋体" w:hAnsi="宋体" w:eastAsia="宋体" w:cs="宋体"/>
                      <w:i w:val="0"/>
                      <w:iCs w:val="0"/>
                      <w:sz w:val="24"/>
                      <w:szCs w:val="24"/>
                      <w:highlight w:val="none"/>
                      <w:vertAlign w:val="baseline"/>
                      <w:lang w:val="en-US" w:eastAsia="zh-CN"/>
                    </w:rPr>
                    <w:t>7.</w:t>
                  </w:r>
                  <w:r>
                    <w:rPr>
                      <w:rFonts w:hint="eastAsia" w:ascii="宋体" w:hAnsi="宋体" w:eastAsia="宋体" w:cs="宋体"/>
                      <w:color w:val="auto"/>
                      <w:sz w:val="24"/>
                      <w:szCs w:val="24"/>
                      <w:highlight w:val="none"/>
                    </w:rPr>
                    <w:t>变压器散热风机启动及运行是否正常，有无碰壳现象。</w:t>
                  </w:r>
                </w:p>
              </w:tc>
            </w:tr>
            <w:tr w14:paraId="7343FC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restart"/>
                  <w:tcBorders>
                    <w:tl2br w:val="nil"/>
                    <w:tr2bl w:val="nil"/>
                  </w:tcBorders>
                  <w:vAlign w:val="center"/>
                </w:tcPr>
                <w:p w14:paraId="5D3B53BA">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油浸式变压器</w:t>
                  </w:r>
                </w:p>
              </w:tc>
              <w:tc>
                <w:tcPr>
                  <w:tcW w:w="3933" w:type="pct"/>
                  <w:tcBorders>
                    <w:tl2br w:val="nil"/>
                    <w:tr2bl w:val="nil"/>
                  </w:tcBorders>
                  <w:vAlign w:val="center"/>
                </w:tcPr>
                <w:p w14:paraId="212424F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1.外观检查有无积尘、树枝、藤蔓、杂草等异物靠近，高低压套管有无破裂、渗油。</w:t>
                  </w:r>
                </w:p>
              </w:tc>
            </w:tr>
            <w:tr w14:paraId="054D3E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continue"/>
                  <w:tcBorders>
                    <w:tl2br w:val="nil"/>
                    <w:tr2bl w:val="nil"/>
                  </w:tcBorders>
                  <w:vAlign w:val="center"/>
                </w:tcPr>
                <w:p w14:paraId="5064B1FB">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4A21266E">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2.变压器负荷监测变压器三相电流，电压是否平衡，是否超额定负荷、</w:t>
                  </w:r>
                </w:p>
              </w:tc>
            </w:tr>
            <w:tr w14:paraId="704E04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continue"/>
                  <w:tcBorders>
                    <w:tl2br w:val="nil"/>
                    <w:tr2bl w:val="nil"/>
                  </w:tcBorders>
                  <w:vAlign w:val="center"/>
                </w:tcPr>
                <w:p w14:paraId="2D853615">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4AA50C99">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3.高、低压接线柱有无安装绝缘护套，测温仪检测接点有无发热现象。</w:t>
                  </w:r>
                </w:p>
              </w:tc>
            </w:tr>
            <w:tr w14:paraId="279DAC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continue"/>
                  <w:tcBorders>
                    <w:tl2br w:val="nil"/>
                    <w:tr2bl w:val="nil"/>
                  </w:tcBorders>
                  <w:vAlign w:val="center"/>
                </w:tcPr>
                <w:p w14:paraId="5A2ABB7C">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24457C18">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4.观察呼吸器有无变色。</w:t>
                  </w:r>
                </w:p>
              </w:tc>
            </w:tr>
            <w:tr w14:paraId="7682CF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continue"/>
                  <w:tcBorders>
                    <w:tl2br w:val="nil"/>
                    <w:tr2bl w:val="nil"/>
                  </w:tcBorders>
                  <w:vAlign w:val="center"/>
                </w:tcPr>
                <w:p w14:paraId="60E22EB3">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17E6301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5.观察胶珠、密封胶垫有无破损、老化、渗油。</w:t>
                  </w:r>
                </w:p>
              </w:tc>
            </w:tr>
            <w:tr w14:paraId="7F7160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continue"/>
                  <w:tcBorders>
                    <w:tl2br w:val="nil"/>
                    <w:tr2bl w:val="nil"/>
                  </w:tcBorders>
                  <w:vAlign w:val="center"/>
                </w:tcPr>
                <w:p w14:paraId="3D009085">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1334ADFD">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6.用专业仪器检测油面温度（顶层油温＜85℃）</w:t>
                  </w:r>
                </w:p>
              </w:tc>
            </w:tr>
            <w:tr w14:paraId="429EE9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continue"/>
                  <w:tcBorders>
                    <w:tl2br w:val="nil"/>
                    <w:tr2bl w:val="nil"/>
                  </w:tcBorders>
                  <w:vAlign w:val="center"/>
                </w:tcPr>
                <w:p w14:paraId="059D97E9">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0C2FF3D2">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sz w:val="24"/>
                      <w:szCs w:val="24"/>
                      <w:highlight w:val="none"/>
                      <w:vertAlign w:val="baseline"/>
                    </w:rPr>
                  </w:pPr>
                  <w:r>
                    <w:rPr>
                      <w:rFonts w:hint="eastAsia" w:ascii="宋体" w:hAnsi="宋体" w:eastAsia="宋体" w:cs="宋体"/>
                      <w:i w:val="0"/>
                      <w:iCs w:val="0"/>
                      <w:color w:val="000000"/>
                      <w:kern w:val="0"/>
                      <w:sz w:val="24"/>
                      <w:szCs w:val="24"/>
                      <w:u w:val="none"/>
                      <w:lang w:val="en-US" w:eastAsia="zh-CN" w:bidi="ar"/>
                    </w:rPr>
                    <w:t>7.油位观察有无缺油现象。</w:t>
                  </w:r>
                </w:p>
              </w:tc>
            </w:tr>
            <w:tr w14:paraId="2845B8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continue"/>
                  <w:tcBorders>
                    <w:tl2br w:val="nil"/>
                    <w:tr2bl w:val="nil"/>
                  </w:tcBorders>
                  <w:vAlign w:val="center"/>
                </w:tcPr>
                <w:p w14:paraId="28AD4871">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40C7E237">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sz w:val="24"/>
                      <w:szCs w:val="24"/>
                      <w:highlight w:val="none"/>
                      <w:vertAlign w:val="baseline"/>
                    </w:rPr>
                  </w:pPr>
                  <w:r>
                    <w:rPr>
                      <w:rFonts w:hint="eastAsia" w:ascii="宋体" w:hAnsi="宋体" w:eastAsia="宋体" w:cs="宋体"/>
                      <w:i w:val="0"/>
                      <w:iCs w:val="0"/>
                      <w:color w:val="000000"/>
                      <w:kern w:val="0"/>
                      <w:sz w:val="24"/>
                      <w:szCs w:val="24"/>
                      <w:u w:val="none"/>
                      <w:lang w:val="en-US" w:eastAsia="zh-CN" w:bidi="ar"/>
                    </w:rPr>
                    <w:t>8.变压器运行声音有无异响。</w:t>
                  </w:r>
                </w:p>
              </w:tc>
            </w:tr>
            <w:tr w14:paraId="2892EC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tcBorders>
                    <w:tl2br w:val="nil"/>
                    <w:tr2bl w:val="nil"/>
                  </w:tcBorders>
                  <w:vAlign w:val="center"/>
                </w:tcPr>
                <w:p w14:paraId="26E554E2">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高压柜</w:t>
                  </w:r>
                </w:p>
              </w:tc>
              <w:tc>
                <w:tcPr>
                  <w:tcW w:w="3933" w:type="pct"/>
                  <w:tcBorders>
                    <w:tl2br w:val="nil"/>
                    <w:tr2bl w:val="nil"/>
                  </w:tcBorders>
                  <w:vAlign w:val="center"/>
                </w:tcPr>
                <w:p w14:paraId="4ABB676B">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检查开关分、合闸操作是否正常，开关机械传动部加润滑油。检查一、二次接线有无烧坏，绝缘部位有无放电痕迹。检查指示灯、仪表是否正常。封堵柜内孔洞。检查柜门、锁有无损坏，柜门开、闭是否正常。清扫柜内有无积尘、蜘蛛网。</w:t>
                  </w:r>
                </w:p>
              </w:tc>
            </w:tr>
            <w:tr w14:paraId="644145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66" w:type="pct"/>
                  <w:tcBorders>
                    <w:tl2br w:val="nil"/>
                    <w:tr2bl w:val="nil"/>
                  </w:tcBorders>
                  <w:vAlign w:val="center"/>
                </w:tcPr>
                <w:p w14:paraId="33AE8FCD">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低压柜</w:t>
                  </w:r>
                </w:p>
              </w:tc>
              <w:tc>
                <w:tcPr>
                  <w:tcW w:w="3933" w:type="pct"/>
                  <w:tcBorders>
                    <w:tl2br w:val="nil"/>
                    <w:tr2bl w:val="nil"/>
                  </w:tcBorders>
                  <w:vAlign w:val="center"/>
                </w:tcPr>
                <w:p w14:paraId="1D0F0E27">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检查刀开关、断路器分、合闸操作是否正常，开关机械传动部加润滑油。检查一、二次接线有无烧坏，绝缘部位有无放电痕迹。检查指示灯、仪表是否正常。封堵柜内孔洞。检查柜门、锁有无损坏，柜门开、闭是否正常。</w:t>
                  </w:r>
                </w:p>
              </w:tc>
            </w:tr>
            <w:tr w14:paraId="6A8D45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restart"/>
                  <w:tcBorders>
                    <w:tl2br w:val="nil"/>
                    <w:tr2bl w:val="nil"/>
                  </w:tcBorders>
                  <w:vAlign w:val="center"/>
                </w:tcPr>
                <w:p w14:paraId="3212A6AC">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电力电缆</w:t>
                  </w:r>
                </w:p>
              </w:tc>
              <w:tc>
                <w:tcPr>
                  <w:tcW w:w="3933" w:type="pct"/>
                  <w:tcBorders>
                    <w:tl2br w:val="nil"/>
                    <w:tr2bl w:val="nil"/>
                  </w:tcBorders>
                  <w:vAlign w:val="center"/>
                </w:tcPr>
                <w:p w14:paraId="4401000B">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1、电缆终端头的连接点有无过热变色。</w:t>
                  </w:r>
                </w:p>
              </w:tc>
            </w:tr>
            <w:tr w14:paraId="02BBE3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66" w:type="pct"/>
                  <w:vMerge w:val="continue"/>
                  <w:tcBorders>
                    <w:tl2br w:val="nil"/>
                    <w:tr2bl w:val="nil"/>
                  </w:tcBorders>
                  <w:vAlign w:val="center"/>
                </w:tcPr>
                <w:p w14:paraId="66667775">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52EF41E7">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2、油浸纸绝缘电力电缆及终端头有无渗、漏油现象。</w:t>
                  </w:r>
                </w:p>
              </w:tc>
            </w:tr>
            <w:tr w14:paraId="62CD92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66" w:type="pct"/>
                  <w:vMerge w:val="continue"/>
                  <w:tcBorders>
                    <w:tl2br w:val="nil"/>
                    <w:tr2bl w:val="nil"/>
                  </w:tcBorders>
                  <w:vAlign w:val="center"/>
                </w:tcPr>
                <w:p w14:paraId="2477D4FD">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4CC303E2">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3、并联使用的电缆的无因负荷分配不均而导致某根电缆过热。</w:t>
                  </w:r>
                </w:p>
              </w:tc>
            </w:tr>
            <w:tr w14:paraId="7001DA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continue"/>
                  <w:tcBorders>
                    <w:tl2br w:val="nil"/>
                    <w:tr2bl w:val="nil"/>
                  </w:tcBorders>
                  <w:vAlign w:val="center"/>
                </w:tcPr>
                <w:p w14:paraId="2A092608">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7FB6CFBF">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4、有无打火、放电声响及异常气味。</w:t>
                  </w:r>
                </w:p>
              </w:tc>
            </w:tr>
            <w:tr w14:paraId="7F40F5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66" w:type="pct"/>
                  <w:vMerge w:val="continue"/>
                  <w:tcBorders>
                    <w:tl2br w:val="nil"/>
                    <w:tr2bl w:val="nil"/>
                  </w:tcBorders>
                  <w:vAlign w:val="center"/>
                </w:tcPr>
                <w:p w14:paraId="1D7784FA">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3F1F7204">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5、终端接地线有无异常。</w:t>
                  </w:r>
                </w:p>
              </w:tc>
            </w:tr>
          </w:tbl>
          <w:p w14:paraId="46B6CD2E">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b w:val="0"/>
                <w:bCs w:val="0"/>
                <w:sz w:val="24"/>
                <w:szCs w:val="24"/>
                <w:lang w:val="en-US" w:eastAsia="zh-CN"/>
              </w:rPr>
            </w:pPr>
            <w:bookmarkStart w:id="3" w:name="_Toc31400"/>
            <w:r>
              <w:rPr>
                <w:rFonts w:hint="eastAsia" w:ascii="宋体" w:hAnsi="宋体" w:eastAsia="宋体" w:cs="宋体"/>
                <w:b w:val="0"/>
                <w:bCs w:val="0"/>
                <w:sz w:val="24"/>
                <w:szCs w:val="24"/>
                <w:lang w:val="en-US" w:eastAsia="zh-CN"/>
              </w:rPr>
              <w:t>3、故障处理</w:t>
            </w:r>
            <w:bookmarkEnd w:id="3"/>
            <w:r>
              <w:rPr>
                <w:rFonts w:hint="eastAsia" w:ascii="宋体" w:hAnsi="宋体" w:eastAsia="宋体" w:cs="宋体"/>
                <w:b w:val="0"/>
                <w:bCs w:val="0"/>
                <w:sz w:val="24"/>
                <w:szCs w:val="24"/>
                <w:lang w:val="en-US" w:eastAsia="zh-CN"/>
              </w:rPr>
              <w:t xml:space="preserve"> ：</w:t>
            </w:r>
          </w:p>
          <w:p w14:paraId="0C5CC3C8">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（1）发现设备故障或接到故障报警后，主值班电工立即组织人员进行故障排查，判断故障原因和影响范围。服务人员</w:t>
            </w:r>
            <w:r>
              <w:rPr>
                <w:rFonts w:hint="eastAsia" w:ascii="宋体" w:hAnsi="宋体" w:eastAsia="宋体" w:cs="宋体"/>
                <w:b w:val="0"/>
                <w:bCs w:val="0"/>
                <w:sz w:val="24"/>
                <w:szCs w:val="24"/>
                <w:lang w:val="en-US" w:eastAsia="zh-CN"/>
              </w:rPr>
              <w:t>应在10分钟内到达现场进行处理，如服务人员未按约定时间到达现场并解决故障，影响了采购人的正常医疗秩序或导致其他不良影响，投标人应赔偿因此给采购人造成的全部损失。损失额从服务费中扣除。</w:t>
            </w:r>
          </w:p>
          <w:p w14:paraId="0FA38218">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（2）对于一般故障(不需拆卸或更换设备和配件），当场组织修复（一般故障处理时间不超过</w:t>
            </w:r>
            <w:r>
              <w:rPr>
                <w:rFonts w:hint="eastAsia" w:ascii="宋体" w:hAnsi="宋体" w:cs="宋体"/>
                <w:sz w:val="24"/>
                <w:szCs w:val="24"/>
                <w:lang w:val="en-US" w:eastAsia="zh-CN"/>
              </w:rPr>
              <w:t>30分钟</w:t>
            </w:r>
            <w:r>
              <w:rPr>
                <w:rFonts w:hint="eastAsia" w:ascii="宋体" w:hAnsi="宋体" w:eastAsia="宋体" w:cs="宋体"/>
                <w:sz w:val="24"/>
                <w:szCs w:val="24"/>
                <w:lang w:val="en-US" w:eastAsia="zh-CN"/>
              </w:rPr>
              <w:t>）。</w:t>
            </w:r>
          </w:p>
          <w:p w14:paraId="2DEA06BB">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sz w:val="24"/>
                <w:szCs w:val="24"/>
                <w:lang w:val="en-US" w:eastAsia="zh-CN"/>
              </w:rPr>
              <w:t>（3）对于复杂或较大故障（设备重要配件损坏或需更换设备），及时采取停电、隔离等安全措施，防止故障扩大，并迅速报告医院后勤管理部门及相关领导，安排专业维修人员协助处理（复杂或较大故障处理时间3-5个工作日）。如出现复杂或较大故障，供应商必须提供应急措施，且2小时内向采购人提供维修方案，确保以最快速度进行处理确保设备正常启动。</w:t>
            </w:r>
          </w:p>
          <w:p w14:paraId="74315E9A">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b w:val="0"/>
                <w:bCs w:val="0"/>
                <w:sz w:val="24"/>
                <w:szCs w:val="24"/>
                <w:lang w:val="en-US" w:eastAsia="zh-CN"/>
              </w:rPr>
              <w:t>如需对设备</w:t>
            </w:r>
            <w:r>
              <w:rPr>
                <w:rFonts w:hint="eastAsia" w:ascii="宋体" w:hAnsi="宋体" w:eastAsia="宋体" w:cs="宋体"/>
                <w:b w:val="0"/>
                <w:bCs w:val="0"/>
                <w:kern w:val="2"/>
                <w:sz w:val="24"/>
                <w:szCs w:val="24"/>
                <w:lang w:val="en-US" w:eastAsia="zh-CN" w:bidi="ar-SA"/>
              </w:rPr>
              <w:t>零配件进行更换的，</w:t>
            </w:r>
            <w:r>
              <w:rPr>
                <w:rFonts w:hint="eastAsia" w:ascii="宋体" w:hAnsi="宋体" w:eastAsia="宋体" w:cs="宋体"/>
                <w:b w:val="0"/>
                <w:bCs w:val="0"/>
                <w:sz w:val="24"/>
                <w:szCs w:val="24"/>
                <w:lang w:val="en-US" w:eastAsia="zh-CN"/>
              </w:rPr>
              <w:t>免人工费，仅收取设备材料费（</w:t>
            </w:r>
            <w:r>
              <w:rPr>
                <w:rFonts w:hint="eastAsia" w:ascii="宋体" w:hAnsi="宋体" w:eastAsia="宋体" w:cs="宋体"/>
                <w:sz w:val="24"/>
                <w:szCs w:val="24"/>
              </w:rPr>
              <w:t>设备设施出现故障，供应商认为确需更换配件，应向采购人提交相关分析报告或说明，并提供配件的型号、厂家、报价、维修工时等</w:t>
            </w:r>
            <w:r>
              <w:rPr>
                <w:rFonts w:hint="eastAsia" w:ascii="宋体" w:hAnsi="宋体" w:eastAsia="宋体" w:cs="宋体"/>
                <w:b w:val="0"/>
                <w:bCs w:val="0"/>
                <w:sz w:val="24"/>
                <w:szCs w:val="24"/>
                <w:lang w:val="en-US" w:eastAsia="zh-CN"/>
              </w:rPr>
              <w:t>）。</w:t>
            </w:r>
          </w:p>
          <w:p w14:paraId="4A0ECD6B">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4、交班：每班次下班前需整理值班记录，记录设备运行情况、故障处理结果、工具使用归还情况等，与下一班值班人员进行交接，当面说明重要事项，确保信息准确传递，双方确认无误后签字交班。</w:t>
            </w:r>
            <w:bookmarkStart w:id="4" w:name="_Toc32545"/>
          </w:p>
          <w:p w14:paraId="3D698E35">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5、用具配备：投标人必须具备完成本项目维保服务的设备及工器具（参考清单详见附件一）。</w:t>
            </w:r>
          </w:p>
          <w:p w14:paraId="2249668B">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四、应急处理</w:t>
            </w:r>
            <w:bookmarkEnd w:id="4"/>
          </w:p>
          <w:p w14:paraId="0565CBAE">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1、制定应急预案：供应商应针对停电、火灾、设备短路、人员触电等突发情况制定有详细应急预案，明确应急处理流程和各人员职责。</w:t>
            </w:r>
          </w:p>
          <w:p w14:paraId="4C4AE6DB">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2、应急演练：供应商需定期组织值班人员进行应急演练，每季度至少一次，提高值班人员应急处置能力和协同配合能力。</w:t>
            </w:r>
          </w:p>
          <w:p w14:paraId="1F12D92F">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3、应急物资储备：配备充足的应急物资，如应急照明灯具、灭火器、绝缘手套、绝缘靴、抢修工具及备用设备等，并定期检查维护，确保物资处于良好备用状态。</w:t>
            </w:r>
          </w:p>
          <w:p w14:paraId="0AB96BD9">
            <w:pPr>
              <w:keepNext w:val="0"/>
              <w:keepLines w:val="0"/>
              <w:pageBreakBefore w:val="0"/>
              <w:kinsoku/>
              <w:wordWrap/>
              <w:overflowPunct/>
              <w:topLinePunct w:val="0"/>
              <w:autoSpaceDE/>
              <w:autoSpaceDN/>
              <w:bidi w:val="0"/>
              <w:adjustRightInd/>
              <w:spacing w:line="360" w:lineRule="auto"/>
              <w:rPr>
                <w:rFonts w:hint="default" w:ascii="宋体" w:hAnsi="宋体" w:eastAsia="宋体" w:cs="宋体"/>
                <w:b/>
                <w:bCs/>
                <w:sz w:val="24"/>
                <w:szCs w:val="24"/>
                <w:lang w:val="en-US" w:eastAsia="zh-CN"/>
              </w:rPr>
            </w:pPr>
            <w:bookmarkStart w:id="5" w:name="_Toc20707"/>
            <w:r>
              <w:rPr>
                <w:rFonts w:hint="eastAsia" w:ascii="宋体" w:hAnsi="宋体" w:eastAsia="宋体" w:cs="宋体"/>
                <w:b/>
                <w:bCs/>
                <w:sz w:val="24"/>
                <w:szCs w:val="24"/>
                <w:lang w:val="en-US" w:eastAsia="zh-CN"/>
              </w:rPr>
              <w:t>五、</w:t>
            </w:r>
            <w:r>
              <w:rPr>
                <w:rFonts w:hint="eastAsia" w:ascii="宋体" w:hAnsi="宋体" w:cs="宋体"/>
                <w:b/>
                <w:bCs/>
                <w:sz w:val="24"/>
                <w:szCs w:val="24"/>
                <w:lang w:val="en-US" w:eastAsia="zh-CN"/>
              </w:rPr>
              <w:t>施工</w:t>
            </w:r>
            <w:r>
              <w:rPr>
                <w:rFonts w:hint="eastAsia" w:ascii="宋体" w:hAnsi="宋体" w:eastAsia="宋体" w:cs="宋体"/>
                <w:b/>
                <w:bCs/>
                <w:sz w:val="24"/>
                <w:szCs w:val="24"/>
                <w:lang w:val="en-US" w:eastAsia="zh-CN"/>
              </w:rPr>
              <w:t>安全措施</w:t>
            </w:r>
            <w:bookmarkEnd w:id="5"/>
            <w:r>
              <w:rPr>
                <w:rFonts w:hint="eastAsia" w:ascii="宋体" w:hAnsi="宋体" w:cs="宋体"/>
                <w:b/>
                <w:bCs/>
                <w:sz w:val="24"/>
                <w:szCs w:val="24"/>
                <w:lang w:val="en-US" w:eastAsia="zh-CN"/>
              </w:rPr>
              <w:t>要求</w:t>
            </w:r>
          </w:p>
          <w:p w14:paraId="0E592B31">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供应商应</w:t>
            </w:r>
            <w:r>
              <w:rPr>
                <w:rFonts w:hint="eastAsia" w:ascii="宋体" w:hAnsi="宋体" w:eastAsia="宋体" w:cs="宋体"/>
                <w:i w:val="0"/>
                <w:iCs w:val="0"/>
                <w:caps w:val="0"/>
                <w:color w:val="333333"/>
                <w:spacing w:val="0"/>
                <w:sz w:val="24"/>
                <w:szCs w:val="24"/>
                <w:shd w:val="clear" w:fill="FFFFFF"/>
              </w:rPr>
              <w:t>具备国家规定的安全生产条件，取得安全生产许可证</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lang w:val="en-US" w:eastAsia="zh-CN"/>
              </w:rPr>
              <w:t>在满足安全措施后方可进行施工，并使用合格的工器具进行工作。</w:t>
            </w:r>
          </w:p>
          <w:p w14:paraId="0504C342">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2、必须坚决执行</w:t>
            </w:r>
            <w:r>
              <w:rPr>
                <w:rFonts w:hint="eastAsia" w:ascii="宋体" w:hAnsi="宋体" w:cs="宋体"/>
                <w:sz w:val="24"/>
                <w:szCs w:val="24"/>
                <w:lang w:val="en-US" w:eastAsia="zh-CN"/>
              </w:rPr>
              <w:t>最新</w:t>
            </w:r>
            <w:r>
              <w:rPr>
                <w:rFonts w:hint="eastAsia" w:ascii="宋体" w:hAnsi="宋体" w:eastAsia="宋体" w:cs="宋体"/>
                <w:sz w:val="24"/>
                <w:szCs w:val="24"/>
                <w:lang w:val="en-US" w:eastAsia="zh-CN"/>
              </w:rPr>
              <w:t>《电业安全工作规程》和《电气工作票技术规范》，必须做好保证安全的组织措施和技术措施；施工前必须履行工作票制度、工作许可制度、工作监护制度、工作间断制度</w:t>
            </w:r>
            <w:r>
              <w:rPr>
                <w:rFonts w:hint="eastAsia" w:ascii="宋体" w:hAnsi="宋体" w:cs="宋体"/>
                <w:sz w:val="24"/>
                <w:szCs w:val="24"/>
                <w:lang w:val="en-US" w:eastAsia="zh-CN"/>
              </w:rPr>
              <w:t>。根据《电力建设工程施工安全监督管理办法》（中华人民共和国国家发展和改革委员会令第28号），供应商应做好施工安全监督管理，</w:t>
            </w:r>
            <w:r>
              <w:rPr>
                <w:rFonts w:hint="eastAsia" w:ascii="宋体" w:hAnsi="宋体" w:eastAsia="宋体" w:cs="宋体"/>
                <w:sz w:val="24"/>
                <w:szCs w:val="24"/>
                <w:lang w:val="en-US" w:eastAsia="zh-CN"/>
              </w:rPr>
              <w:t>施工现场设专职安全监督员。</w:t>
            </w:r>
          </w:p>
          <w:p w14:paraId="07477400">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3、施工前，施工负责人必须将工作内容，工作范围，以及设备停电部分和带电部分情况向进场施工人员交代清楚。</w:t>
            </w:r>
          </w:p>
          <w:p w14:paraId="0A9A565F">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4、临时或新进站工作的人员必须经得现场施工负责人同意，并在施工负责人交代清楚现场情况后，方可工作。</w:t>
            </w:r>
          </w:p>
          <w:p w14:paraId="144B8EA8">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5、工作人员进入施工现场必须正确佩带安全帽，高空作业必须佩带安全带，上下传递工器具必须使用绳索传递，严禁抛掷，禁止单人搬运梯子。</w:t>
            </w:r>
          </w:p>
          <w:p w14:paraId="395B24F2">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6、工作人员工作时必须与带电部分保持足够的安全距离，施工现场与带电设备之间必须装设安全围栏，并在醒目处悬挂警示标示牌。</w:t>
            </w:r>
          </w:p>
          <w:p w14:paraId="43E52369">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7、特殊的、危险的作业必须设专人监护，必须有安全技术措施，并在施工前进行技术、安全交底、已交底的措施，未经技术负责人同意，不得擅自变更。</w:t>
            </w:r>
          </w:p>
          <w:p w14:paraId="1FBD485C">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施工电源箱各路出线标示清楚，严禁随意拉闸接电、送电；施工用电熔丝的排队故障后方可更换；更换好熔丝、装好保护罩后方可送电；严禁将电线直接勾挂在闸刀上或直接插入插座内使用，严禁一个开关或一个插座接两台及以上电气设备或电动工具。</w:t>
            </w:r>
          </w:p>
          <w:p w14:paraId="29AFC7E5">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9、严禁湿手接触电源开关。</w:t>
            </w:r>
          </w:p>
          <w:p w14:paraId="57B99CAD">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10、施工现场附近内应配备适用于扑灭电气火灾的消防器材；发生电气火灾时应首先切断电源。</w:t>
            </w:r>
          </w:p>
          <w:p w14:paraId="00472C49">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11、进行特殊工种的人员必须持证上岗（电工、登高、起重、焊工、机动车驾驶、吊车操作等），上岗证必须定期年审。</w:t>
            </w:r>
          </w:p>
          <w:p w14:paraId="03E5197F">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b/>
                <w:bCs/>
                <w:sz w:val="24"/>
                <w:szCs w:val="24"/>
                <w:lang w:val="en-US" w:eastAsia="zh-CN"/>
              </w:rPr>
            </w:pPr>
            <w:bookmarkStart w:id="6" w:name="_Toc20374"/>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、环境保护措施</w:t>
            </w:r>
            <w:bookmarkEnd w:id="6"/>
          </w:p>
          <w:p w14:paraId="23399DF7">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1、必须对施工机具进行鉴定检查，配备符合安全、环境保护要求的施工设施、设备</w:t>
            </w:r>
            <w:r>
              <w:rPr>
                <w:rFonts w:hint="eastAsia" w:ascii="宋体" w:hAnsi="宋体" w:cs="宋体"/>
                <w:sz w:val="24"/>
                <w:szCs w:val="24"/>
                <w:lang w:val="en-US" w:eastAsia="zh-CN"/>
              </w:rPr>
              <w:t>。</w:t>
            </w:r>
          </w:p>
          <w:p w14:paraId="51B9A0DB">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2、有害有毒物品、易燃易爆物品等应在作业现场临时放置时应设警示标志牌，必要时应设专人看护</w:t>
            </w:r>
            <w:r>
              <w:rPr>
                <w:rFonts w:hint="eastAsia" w:ascii="宋体" w:hAnsi="宋体" w:cs="宋体"/>
                <w:sz w:val="24"/>
                <w:szCs w:val="24"/>
                <w:lang w:val="en-US" w:eastAsia="zh-CN"/>
              </w:rPr>
              <w:t>。</w:t>
            </w:r>
          </w:p>
          <w:p w14:paraId="35BDD65E">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供应商需制定有</w:t>
            </w:r>
            <w:r>
              <w:rPr>
                <w:rFonts w:hint="eastAsia" w:ascii="宋体" w:hAnsi="宋体" w:eastAsia="宋体" w:cs="宋体"/>
                <w:sz w:val="24"/>
                <w:szCs w:val="24"/>
                <w:lang w:val="en-US" w:eastAsia="zh-CN"/>
              </w:rPr>
              <w:t>环保和场地清理措施，施工过程中应严格执行</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保护环境</w:t>
            </w:r>
            <w:r>
              <w:rPr>
                <w:rFonts w:hint="eastAsia" w:ascii="宋体" w:hAnsi="宋体" w:cs="宋体"/>
                <w:sz w:val="24"/>
                <w:szCs w:val="24"/>
                <w:lang w:val="en-US" w:eastAsia="zh-CN"/>
              </w:rPr>
              <w:t>。</w:t>
            </w:r>
          </w:p>
          <w:p w14:paraId="26F47ECB">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每次</w:t>
            </w:r>
            <w:r>
              <w:rPr>
                <w:rFonts w:hint="eastAsia" w:ascii="宋体" w:hAnsi="宋体" w:eastAsia="宋体" w:cs="宋体"/>
                <w:sz w:val="24"/>
                <w:szCs w:val="24"/>
                <w:lang w:val="en-US" w:eastAsia="zh-CN"/>
              </w:rPr>
              <w:t>工程收工的每个施工点应做到工完料尽，填好施工坑，及时清理好施工现场废弃物，保持施工现场、材料站整齐有序</w:t>
            </w:r>
            <w:r>
              <w:rPr>
                <w:rFonts w:hint="eastAsia" w:ascii="宋体" w:hAnsi="宋体" w:cs="宋体"/>
                <w:sz w:val="24"/>
                <w:szCs w:val="24"/>
                <w:lang w:val="en-US" w:eastAsia="zh-CN"/>
              </w:rPr>
              <w:t>。</w:t>
            </w:r>
          </w:p>
          <w:p w14:paraId="7FF91310">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、放在配电房内的新旧设备、材料必须按指定的地点存放，并摆放整齐</w:t>
            </w:r>
            <w:r>
              <w:rPr>
                <w:rFonts w:hint="eastAsia" w:ascii="宋体" w:hAnsi="宋体" w:cs="宋体"/>
                <w:sz w:val="24"/>
                <w:szCs w:val="24"/>
                <w:lang w:val="en-US" w:eastAsia="zh-CN"/>
              </w:rPr>
              <w:t>。</w:t>
            </w:r>
          </w:p>
          <w:p w14:paraId="114FB9E3">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、工作中注意保持施工现场的整齐清洁，不得乱摆乱放施工材料和工具。</w:t>
            </w:r>
          </w:p>
          <w:p w14:paraId="1A8B6F1E">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七</w:t>
            </w:r>
            <w:r>
              <w:rPr>
                <w:rFonts w:hint="eastAsia" w:ascii="宋体" w:hAnsi="宋体" w:eastAsia="宋体" w:cs="宋体"/>
                <w:b/>
                <w:bCs/>
                <w:sz w:val="24"/>
                <w:szCs w:val="24"/>
                <w:lang w:val="en-US" w:eastAsia="zh-CN"/>
              </w:rPr>
              <w:t>、其他服务要求</w:t>
            </w:r>
          </w:p>
          <w:p w14:paraId="7318EEE7">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1、服务人员需严格遵守医院各项规章制度，服从医院管理部门的监督及相关科室有关人员的管理。</w:t>
            </w:r>
          </w:p>
          <w:p w14:paraId="0F288D01">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2、岗人员仪表整洁，业务操作规范，保持岗位卫生整洁。</w:t>
            </w:r>
          </w:p>
          <w:p w14:paraId="65017306">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3、按时到岗，不迟到、不早退、工作时间内不得擅自离岗、串岗，做其他与工作无关的事情。</w:t>
            </w:r>
          </w:p>
          <w:p w14:paraId="7D70F085">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4、不得私卖医院废品，不得损坏医院财物，若有损坏供应商要负责维修或赔偿。</w:t>
            </w:r>
          </w:p>
          <w:p w14:paraId="5B1988AD">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r>
              <w:rPr>
                <w:rFonts w:hint="eastAsia" w:ascii="宋体" w:hAnsi="宋体" w:eastAsia="宋体" w:cs="宋体"/>
                <w:kern w:val="2"/>
                <w:sz w:val="24"/>
                <w:szCs w:val="24"/>
                <w:lang w:val="en-US" w:eastAsia="zh-CN" w:bidi="ar-SA"/>
              </w:rPr>
              <w:t>在合同期内，供应商须为服务人员的人身安全提供切实的保障措施、安全</w:t>
            </w:r>
            <w:r>
              <w:rPr>
                <w:rFonts w:hint="eastAsia" w:ascii="宋体" w:hAnsi="宋体" w:cs="宋体"/>
                <w:kern w:val="2"/>
                <w:sz w:val="24"/>
                <w:szCs w:val="24"/>
                <w:lang w:val="en-US" w:eastAsia="zh-CN" w:bidi="ar-SA"/>
              </w:rPr>
              <w:t>生产</w:t>
            </w:r>
            <w:r>
              <w:rPr>
                <w:rFonts w:hint="eastAsia" w:ascii="宋体" w:hAnsi="宋体" w:eastAsia="宋体" w:cs="宋体"/>
                <w:kern w:val="2"/>
                <w:sz w:val="24"/>
                <w:szCs w:val="24"/>
                <w:lang w:val="en-US" w:eastAsia="zh-CN" w:bidi="ar-SA"/>
              </w:rPr>
              <w:t>培训，供应商服务人员自身或造成采购人或第三方财产损失或人员伤亡的，由供应商承担全部经济责任及法律责任，采购人不承担任何责任，若造成采购方的经济损失的，还需赔偿采购方的相关损失。</w:t>
            </w:r>
          </w:p>
          <w:p w14:paraId="76779FF3">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7、供应商投入服务人员在岗履行工作职责期间，发生劳动纠纷的，均由中标人根据有关法律规定做出妥善处理，采购人不承担任何责任。</w:t>
            </w:r>
          </w:p>
          <w:p w14:paraId="103BB8B4">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8、采购人有权对供应商日常工作流程进行监督指导，如发现不合理处，有权要求供应商进行整改。中标人应在收到采购人书面通知之日起一日内书面提交整改方案并完成整改。</w:t>
            </w:r>
          </w:p>
          <w:p w14:paraId="010D09AE">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9、供应商在服务期，应及时将服务管理中存在的问题向采购人汇报，便于采购人及时掌握服务工作动态，以利双方共同合作。</w:t>
            </w:r>
          </w:p>
          <w:p w14:paraId="6B758533">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供应商应建立健全及妥善保存服务过程中各类维修记录、值班记录、技术档案及改造图纸、管理档案、设备运行记录档案，及根据采购人要求需留存的各类文件。数据可用数字化储存的方式记录，保存运行原始资料。资料及档案定期交采购人备案。</w:t>
            </w:r>
          </w:p>
          <w:p w14:paraId="060CB875">
            <w:pPr>
              <w:pStyle w:val="7"/>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验收与考核：符合现行国家相关标准、行业标准、地方标准或者其他标准、规范、合同要求。采购人每月对供应商进行考核（考核内容详见附件二），考核结果分为：合格与不合格。满分为100分，90分以上（含90分）为合格；90分以下为不合格。出现不合格时，每降低5分扣款2000元，考核涉及的所有扣款，均在服务款中扣除。出现不合格时，中标人必须向采购人提交整改方案，连续两个月或年度内累计3次出现服务考核不合格的，或因供应商原因导致采购人各项检查未通过的，采购人有权单方终止本合同。</w:t>
            </w:r>
          </w:p>
        </w:tc>
      </w:tr>
      <w:tr w14:paraId="17304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7AA662E3">
            <w:pPr>
              <w:pStyle w:val="7"/>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rPr>
              <w:t>▲二、</w:t>
            </w:r>
            <w:r>
              <w:rPr>
                <w:rFonts w:hint="eastAsia" w:ascii="宋体" w:hAnsi="宋体" w:eastAsia="宋体" w:cs="宋体"/>
                <w:b/>
                <w:color w:val="auto"/>
                <w:sz w:val="24"/>
                <w:szCs w:val="24"/>
                <w:highlight w:val="none"/>
              </w:rPr>
              <w:t>商务要求</w:t>
            </w:r>
          </w:p>
        </w:tc>
      </w:tr>
      <w:tr w14:paraId="68007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993" w:type="pct"/>
            <w:gridSpan w:val="3"/>
            <w:tcBorders>
              <w:top w:val="single" w:color="auto" w:sz="4" w:space="0"/>
              <w:left w:val="single" w:color="auto" w:sz="4" w:space="0"/>
              <w:bottom w:val="single" w:color="auto" w:sz="4" w:space="0"/>
              <w:right w:val="single" w:color="auto" w:sz="4" w:space="0"/>
            </w:tcBorders>
            <w:noWrap w:val="0"/>
            <w:vAlign w:val="center"/>
          </w:tcPr>
          <w:p w14:paraId="125D5315">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auto"/>
                <w:sz w:val="24"/>
                <w:szCs w:val="24"/>
                <w:highlight w:val="none"/>
              </w:rPr>
              <w:t>投标报价要求</w:t>
            </w:r>
          </w:p>
        </w:tc>
        <w:tc>
          <w:tcPr>
            <w:tcW w:w="4006" w:type="pct"/>
            <w:tcBorders>
              <w:top w:val="single" w:color="auto" w:sz="4" w:space="0"/>
              <w:left w:val="single" w:color="auto" w:sz="4" w:space="0"/>
              <w:bottom w:val="single" w:color="auto" w:sz="4" w:space="0"/>
              <w:right w:val="single" w:color="auto" w:sz="4" w:space="0"/>
            </w:tcBorders>
            <w:noWrap w:val="0"/>
            <w:vAlign w:val="center"/>
          </w:tcPr>
          <w:p w14:paraId="29D352D8">
            <w:pPr>
              <w:pStyle w:val="7"/>
              <w:keepNext w:val="0"/>
              <w:keepLines w:val="0"/>
              <w:pageBreakBefore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lang w:val="en-US" w:eastAsia="zh-CN"/>
              </w:rPr>
              <w:t>服务费用实行总包制，投标报价应包含：人员的工资、劳保（服装、安全防护用品、值勤记录本等用品费用）、完成本服务所需的一切设备及工器具、社保费、福利待遇（节日慰问、培训费、国家法定节日加班费等），以及其他管理费用、税费、奖金、企业利润等。供应商报价时应充分考虑各项投标成本、税金等与本项目相关的一切费用，以及市场价格变动等风险。项目实施过程中，采购人不再支付其他任何费用。</w:t>
            </w:r>
          </w:p>
          <w:p w14:paraId="2B1D6F4D">
            <w:pPr>
              <w:pStyle w:val="7"/>
              <w:keepNext w:val="0"/>
              <w:keepLines w:val="0"/>
              <w:pageBreakBefore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lang w:val="en-US" w:eastAsia="zh-CN"/>
              </w:rPr>
              <w:t>项目过程中如涉及到的必要验收费用、设备检验费用，由投标人负责。</w:t>
            </w:r>
          </w:p>
        </w:tc>
      </w:tr>
      <w:tr w14:paraId="60C5E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3"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A6B9677">
            <w:pPr>
              <w:widowControl/>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合同签订期</w:t>
            </w:r>
          </w:p>
        </w:tc>
        <w:tc>
          <w:tcPr>
            <w:tcW w:w="400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FA5FB7">
            <w:pPr>
              <w:snapToGrid w:val="0"/>
              <w:spacing w:line="36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kern w:val="2"/>
                <w:sz w:val="24"/>
                <w:szCs w:val="24"/>
                <w:lang w:val="en-US" w:eastAsia="zh-CN" w:bidi="ar-SA"/>
              </w:rPr>
              <w:t>自中标通知书发出之日起25日内。</w:t>
            </w:r>
          </w:p>
        </w:tc>
      </w:tr>
      <w:tr w14:paraId="14485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3"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9A71755">
            <w:pPr>
              <w:wordWrap w:val="0"/>
              <w:topLinePunct/>
              <w:snapToGrid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项目服务期限和地点</w:t>
            </w:r>
          </w:p>
        </w:tc>
        <w:tc>
          <w:tcPr>
            <w:tcW w:w="400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495E55">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1、服务期限：1年。</w:t>
            </w:r>
          </w:p>
          <w:p w14:paraId="1084C7BD">
            <w:pPr>
              <w:snapToGrid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2"/>
                <w:sz w:val="24"/>
                <w:szCs w:val="24"/>
                <w:lang w:val="en-US" w:eastAsia="zh-CN" w:bidi="ar-SA"/>
              </w:rPr>
              <w:t>2、服务地点：广西医科大学第一附属医院内采购人指定地点。</w:t>
            </w:r>
          </w:p>
        </w:tc>
      </w:tr>
      <w:tr w14:paraId="0CCFF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3"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B45F039">
            <w:pPr>
              <w:wordWrap w:val="0"/>
              <w:topLinePunct/>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付款条件</w:t>
            </w:r>
          </w:p>
        </w:tc>
        <w:tc>
          <w:tcPr>
            <w:tcW w:w="400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92A293">
            <w:pPr>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color w:val="auto"/>
                <w:sz w:val="24"/>
                <w:szCs w:val="24"/>
                <w:lang w:val="en-US" w:eastAsia="zh-CN"/>
              </w:rPr>
              <w:t>付款方式: 双方对考核表扣减费用进行核对后，服务费按</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lang w:val="en-US" w:eastAsia="zh-CN"/>
              </w:rPr>
              <w:t>进行支付，供应商开具有效票据，并提供付款材料至采购人，采购人完成付款审批手续后15个工作日将费用汇至供应商指定账户。</w:t>
            </w:r>
          </w:p>
          <w:p w14:paraId="760D4131">
            <w:pPr>
              <w:snapToGrid w:val="0"/>
              <w:spacing w:line="360" w:lineRule="auto"/>
              <w:rPr>
                <w:rFonts w:hint="eastAsia" w:ascii="宋体" w:hAnsi="宋体" w:eastAsia="宋体" w:cs="宋体"/>
                <w:kern w:val="2"/>
                <w:sz w:val="24"/>
                <w:szCs w:val="24"/>
                <w:lang w:val="en-US" w:eastAsia="zh-CN" w:bidi="ar-SA"/>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、发票要求：付款前</w:t>
            </w:r>
            <w:bookmarkStart w:id="7" w:name="OLE_LINK1"/>
            <w:r>
              <w:rPr>
                <w:rFonts w:hint="eastAsia" w:ascii="宋体" w:hAnsi="宋体" w:eastAsia="宋体" w:cs="宋体"/>
                <w:color w:val="auto"/>
                <w:sz w:val="24"/>
                <w:szCs w:val="24"/>
                <w:lang w:val="en-US" w:eastAsia="zh-CN"/>
              </w:rPr>
              <w:t>供应商</w:t>
            </w:r>
            <w:bookmarkEnd w:id="7"/>
            <w:r>
              <w:rPr>
                <w:rFonts w:hint="eastAsia" w:ascii="宋体" w:hAnsi="宋体" w:eastAsia="宋体" w:cs="宋体"/>
                <w:color w:val="auto"/>
                <w:sz w:val="24"/>
                <w:szCs w:val="24"/>
                <w:lang w:val="en-US" w:eastAsia="zh-CN"/>
              </w:rPr>
              <w:t>必须提供真实、有效、合法的正式发票，如提供假发票的，供应商除须向采购人补开合法发票外，并须赔偿采购人发票票面金额一倍的违约金，由此产生的一切损失均由供应商承担。</w:t>
            </w:r>
          </w:p>
        </w:tc>
      </w:tr>
      <w:tr w14:paraId="28735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3"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13063E0">
            <w:pPr>
              <w:widowControl/>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auto"/>
                <w:sz w:val="24"/>
                <w:szCs w:val="24"/>
                <w:highlight w:val="none"/>
                <w:lang w:val="en-US" w:eastAsia="zh-CN"/>
              </w:rPr>
              <w:t>货物质量要求</w:t>
            </w:r>
          </w:p>
        </w:tc>
        <w:tc>
          <w:tcPr>
            <w:tcW w:w="400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7F20E1">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1、投标人为响应本项目采购需求而提供的货物（如有）：按国家有关产品“三包”规定执行“三包”，所有货物维保期从最终验收合格之日起计算不少于一年（含一年）。</w:t>
            </w:r>
          </w:p>
          <w:p w14:paraId="150150CF">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更换的零配件、备件、耗材，须是原厂认证合格的零配件、备件、耗材，满足设备运行要求，不会给设备带来危害。维修中所更换的零配件、备件、耗材为原厂生产且未经拆封的，其相应参数符合国家质量检测标准；零配件、备件、耗材的采购渠道必须符合国家相关法律、法规。</w:t>
            </w:r>
          </w:p>
        </w:tc>
      </w:tr>
      <w:tr w14:paraId="594D8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3"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D9849C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sz w:val="24"/>
                <w:szCs w:val="24"/>
                <w:highlight w:val="none"/>
              </w:rPr>
              <w:t>采购标的验收标准</w:t>
            </w:r>
          </w:p>
        </w:tc>
        <w:tc>
          <w:tcPr>
            <w:tcW w:w="400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3FAC953">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1、供应商需承担项目验收时发生的一切费用。</w:t>
            </w:r>
          </w:p>
          <w:p w14:paraId="638F9913">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2、采购单位将依据采购文件上的技术要求和国家有关标准对</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供应商完成的项目进行验收，验收不合格的，采购单位有权不予签收；在本项目验收时，</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供应商如提供不符合采购文件、响应文件和采购合同规定的服务，采购单位有权拒绝接受，由此产生的一切损失均由成交供应商自行承担。</w:t>
            </w:r>
          </w:p>
          <w:p w14:paraId="68866632">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于验收前向采购单位提供一切有关技术文件、资料、图纸和相关记录等验收材料。经采购人确认项目的实施总体功能、服务符合采购单位认可的服务方案及合同规定的，予以验收，并作出验收结果报告。采购人及成交供应商双方签署项目终验验收证书。</w:t>
            </w:r>
          </w:p>
          <w:p w14:paraId="3053B6CD">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4、验收标准</w:t>
            </w:r>
          </w:p>
          <w:p w14:paraId="70109FBB">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项目采购文件及供应商响应文件中的“技术需求偏离表”，逐条验收；</w:t>
            </w:r>
          </w:p>
          <w:p w14:paraId="10C13F9C">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项目采购文件及投标人响应文件中的“商务条款偏离表”，逐条验收；</w:t>
            </w:r>
          </w:p>
          <w:p w14:paraId="70C2C8D6">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供应商响应文件中其他技术、服务、商务性的说明、承诺事项，逐条验收。</w:t>
            </w:r>
          </w:p>
        </w:tc>
      </w:tr>
      <w:tr w14:paraId="2AD4C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3"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2F2369E">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知识产权</w:t>
            </w:r>
          </w:p>
        </w:tc>
        <w:tc>
          <w:tcPr>
            <w:tcW w:w="400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316B7D">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1、未经采购单位书面许可，供应商不得向任何第三方提供</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报告、资料、文件、用户信息等内容及服务成果。即使向履行有关的人员提供，也应注意保密并限于履行合同的必需范围。</w:t>
            </w:r>
          </w:p>
          <w:p w14:paraId="301AB5A5">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2、供应商应严格遵守相关的知识产权及软件版权保护的法律、</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"http://www.chinalawedu.com/falvfagui/" \o "法规"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法规</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；任何供应商用于未经授权的商业目的复制行为所造成的违约或侵权责任由供应商承但。</w:t>
            </w:r>
          </w:p>
          <w:p w14:paraId="3BD0C999">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3、投标人实施服务所使用的工具、设备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配件</w:t>
            </w:r>
            <w:r>
              <w:rPr>
                <w:rFonts w:hint="eastAsia" w:ascii="宋体" w:hAnsi="宋体" w:eastAsia="宋体" w:cs="宋体"/>
                <w:color w:val="auto"/>
                <w:sz w:val="24"/>
                <w:szCs w:val="24"/>
                <w:highlight w:val="none"/>
              </w:rPr>
              <w:t>等必须为经合法销售渠道获得，若因其侵犯了第三方合法权益而引发任何纠纷或诉讼，均由投标人负责交涉并承担全部责任。</w:t>
            </w:r>
          </w:p>
        </w:tc>
      </w:tr>
      <w:tr w14:paraId="1AA15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3"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909D6A4">
            <w:pPr>
              <w:wordWrap w:val="0"/>
              <w:topLinePunct/>
              <w:snapToGrid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履约保证金</w:t>
            </w:r>
          </w:p>
          <w:p w14:paraId="0DF59379">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400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5F9797">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履约保证金金额及递交方式：签订合同前，中标人按合同金额的2%向采购人支付履约保证金或银行、担保机构出具的同等额度的履约保函（按《广西壮族自治区财政厅关于在政府采购活动中推广使用电子保函的通知》要求，鼓励供应商采用电子保函的形式。采用电子保函的，供应商可通过 “广西政府采购金融服务平台”（https://jinrong.zcygov.cn/finance/gx）在线方式完成保函申请）。</w:t>
            </w:r>
          </w:p>
          <w:p w14:paraId="5118C9C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履约保证金退付方式、时间及条件：履约保证金在项目履约期满后，如无质量纠纷，经中标人申请，采购人完成退付手续后十五个工作日内免息退回履约保证金（按合同约定被扣除的除外）。中标人若不能完全履行合同，履约保证金不返还。中标供应商按实际损失赔偿。采购人有权直接从履约保证金里扣除中标供应商应当承担的违约金。由中标人向履约保证金收取单位提供《服务验收书》，履约保证金收取单位在收到合格材料后15个工作日内办理退还手续（不计利息）。</w:t>
            </w:r>
          </w:p>
          <w:p w14:paraId="169090E2">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履约保证金指定账户： </w:t>
            </w:r>
          </w:p>
          <w:p w14:paraId="3EE16D6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开户名：广西医科大学第一附属医院</w:t>
            </w:r>
          </w:p>
          <w:p w14:paraId="28ED248E">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账号：45001604560050501061</w:t>
            </w:r>
          </w:p>
          <w:p w14:paraId="229A098E">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开户行：中国建设银行股份有限公司南宁医科大支行</w:t>
            </w:r>
          </w:p>
          <w:p w14:paraId="394BDEBF">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备注：</w:t>
            </w:r>
          </w:p>
          <w:p w14:paraId="62D06FD9">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1.根据《桂财规〔2022〕8号 广西壮族自治区财政厅关于规范政府采购货物和服务项目保证金管理的通知》规定，采购文件要求中标或者中标人提交履约保证金的，履约保证金数额不得超过政府采购合同金额的5%，对中小企业收取的履约保证金数额不得超过政府采购合同金额的2%。</w:t>
            </w:r>
          </w:p>
          <w:p w14:paraId="64635B62">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4D8A60BB">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3.采用银行、保险机构出具的保函（含电子保函）的，必须为无条件保函，否则不予签订合同。</w:t>
            </w:r>
          </w:p>
        </w:tc>
      </w:tr>
    </w:tbl>
    <w:p w14:paraId="319467F2">
      <w:pPr>
        <w:pStyle w:val="7"/>
        <w:snapToGrid w:val="0"/>
        <w:spacing w:before="120" w:after="120" w:line="340" w:lineRule="exact"/>
        <w:jc w:val="center"/>
        <w:outlineLvl w:val="0"/>
        <w:rPr>
          <w:rFonts w:hint="eastAsia" w:hAnsi="宋体"/>
          <w:sz w:val="32"/>
          <w:szCs w:val="40"/>
        </w:rPr>
      </w:pPr>
    </w:p>
    <w:p w14:paraId="136A8231">
      <w:pPr>
        <w:rPr>
          <w:rFonts w:hint="eastAsia" w:hAnsi="宋体"/>
          <w:sz w:val="32"/>
          <w:szCs w:val="40"/>
        </w:rPr>
      </w:pPr>
      <w:r>
        <w:rPr>
          <w:rFonts w:hint="eastAsia" w:hAnsi="宋体"/>
          <w:sz w:val="32"/>
          <w:szCs w:val="40"/>
        </w:rPr>
        <w:br w:type="page"/>
      </w:r>
    </w:p>
    <w:p w14:paraId="55CF90CE">
      <w:pPr>
        <w:pStyle w:val="4"/>
        <w:numPr>
          <w:ilvl w:val="0"/>
          <w:numId w:val="0"/>
        </w:numPr>
        <w:spacing w:before="163" w:after="163"/>
        <w:ind w:left="0" w:leftChars="0" w:firstLine="0" w:firstLineChars="0"/>
        <w:rPr>
          <w:rFonts w:hint="default" w:ascii="宋体" w:hAnsi="宋体" w:eastAsia="宋体" w:cs="宋体"/>
          <w:sz w:val="24"/>
          <w:szCs w:val="24"/>
          <w:highlight w:val="none"/>
          <w:lang w:val="en-US" w:eastAsia="zh-CN"/>
        </w:rPr>
      </w:pPr>
      <w:bookmarkStart w:id="8" w:name="_Toc13299"/>
      <w:r>
        <w:rPr>
          <w:rFonts w:hint="eastAsia" w:ascii="宋体" w:hAnsi="宋体" w:cs="宋体"/>
          <w:sz w:val="24"/>
          <w:szCs w:val="24"/>
          <w:highlight w:val="none"/>
          <w:lang w:val="en-US" w:eastAsia="zh-CN"/>
        </w:rPr>
        <w:t>附件一：</w:t>
      </w:r>
      <w:r>
        <w:rPr>
          <w:rFonts w:hint="eastAsia" w:ascii="宋体" w:hAnsi="宋体" w:eastAsia="宋体" w:cs="宋体"/>
          <w:sz w:val="24"/>
          <w:szCs w:val="24"/>
          <w:highlight w:val="none"/>
        </w:rPr>
        <w:t>设备及工器具准备</w:t>
      </w:r>
      <w:bookmarkEnd w:id="8"/>
      <w:r>
        <w:rPr>
          <w:rFonts w:hint="eastAsia" w:ascii="宋体" w:hAnsi="宋体" w:cs="宋体"/>
          <w:sz w:val="24"/>
          <w:szCs w:val="24"/>
          <w:highlight w:val="none"/>
          <w:lang w:val="en-US" w:eastAsia="zh-CN"/>
        </w:rPr>
        <w:t>参考清单</w:t>
      </w:r>
    </w:p>
    <w:p w14:paraId="7C5D4154">
      <w:pPr>
        <w:pStyle w:val="5"/>
        <w:numPr>
          <w:ilvl w:val="1"/>
          <w:numId w:val="0"/>
        </w:numPr>
        <w:spacing w:before="163" w:after="163"/>
        <w:ind w:left="0" w:leftChars="0" w:firstLine="0" w:firstLineChars="0"/>
        <w:rPr>
          <w:rFonts w:hint="eastAsia" w:ascii="宋体" w:hAnsi="宋体" w:eastAsia="宋体" w:cs="宋体"/>
          <w:sz w:val="24"/>
          <w:szCs w:val="24"/>
          <w:highlight w:val="none"/>
        </w:rPr>
      </w:pPr>
      <w:r>
        <w:rPr>
          <w:rFonts w:hint="eastAsia" w:ascii="宋体" w:hAnsi="宋体" w:cs="宋体"/>
          <w:b/>
          <w:bCs w:val="0"/>
          <w:i w:val="0"/>
          <w:iCs w:val="0"/>
          <w:caps w:val="0"/>
          <w:smallCaps w:val="0"/>
          <w:strike w:val="0"/>
          <w:dstrike w:val="0"/>
          <w:vanish w:val="0"/>
          <w:spacing w:val="0"/>
          <w:kern w:val="2"/>
          <w:position w:val="0"/>
          <w:sz w:val="24"/>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（一）</w:t>
      </w:r>
      <w:r>
        <w:rPr>
          <w:rFonts w:hint="eastAsia" w:ascii="宋体" w:hAnsi="宋体" w:eastAsia="宋体" w:cs="宋体"/>
          <w:sz w:val="24"/>
          <w:szCs w:val="24"/>
          <w:highlight w:val="none"/>
        </w:rPr>
        <w:t>工器具准备</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643"/>
        <w:gridCol w:w="1483"/>
        <w:gridCol w:w="1273"/>
        <w:gridCol w:w="1063"/>
        <w:gridCol w:w="2418"/>
      </w:tblGrid>
      <w:tr w14:paraId="6D63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jc w:val="center"/>
        </w:trPr>
        <w:tc>
          <w:tcPr>
            <w:tcW w:w="375" w:type="pct"/>
            <w:shd w:val="clear" w:color="auto" w:fill="FFFFFF"/>
            <w:vAlign w:val="center"/>
          </w:tcPr>
          <w:p w14:paraId="04D6C11B">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964" w:type="pct"/>
            <w:shd w:val="clear" w:color="auto" w:fill="FFFFFF"/>
            <w:vAlign w:val="center"/>
          </w:tcPr>
          <w:p w14:paraId="2E81EAEE">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p>
        </w:tc>
        <w:tc>
          <w:tcPr>
            <w:tcW w:w="870" w:type="pct"/>
            <w:shd w:val="clear" w:color="auto" w:fill="FFFFFF"/>
            <w:vAlign w:val="center"/>
          </w:tcPr>
          <w:p w14:paraId="1B6066E3">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    格</w:t>
            </w:r>
          </w:p>
        </w:tc>
        <w:tc>
          <w:tcPr>
            <w:tcW w:w="747" w:type="pct"/>
            <w:shd w:val="clear" w:color="auto" w:fill="FFFFFF"/>
            <w:vAlign w:val="center"/>
          </w:tcPr>
          <w:p w14:paraId="6EEDE9D7">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623" w:type="pct"/>
            <w:shd w:val="clear" w:color="auto" w:fill="FFFFFF"/>
            <w:vAlign w:val="center"/>
          </w:tcPr>
          <w:p w14:paraId="1E3D962D">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418" w:type="pct"/>
            <w:shd w:val="clear" w:color="auto" w:fill="FFFFFF"/>
          </w:tcPr>
          <w:p w14:paraId="33FC7BAC">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6072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375" w:type="pct"/>
            <w:vAlign w:val="center"/>
          </w:tcPr>
          <w:p w14:paraId="3F67D86C">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64" w:type="pct"/>
            <w:vAlign w:val="center"/>
          </w:tcPr>
          <w:p w14:paraId="488119CC">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工具箱</w:t>
            </w:r>
          </w:p>
        </w:tc>
        <w:tc>
          <w:tcPr>
            <w:tcW w:w="870" w:type="pct"/>
            <w:vAlign w:val="center"/>
          </w:tcPr>
          <w:p w14:paraId="19484546">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中号</w:t>
            </w:r>
          </w:p>
        </w:tc>
        <w:tc>
          <w:tcPr>
            <w:tcW w:w="747" w:type="pct"/>
            <w:vAlign w:val="center"/>
          </w:tcPr>
          <w:p w14:paraId="3C50F7CC">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623" w:type="pct"/>
            <w:vAlign w:val="center"/>
          </w:tcPr>
          <w:p w14:paraId="643F1A63">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18" w:type="pct"/>
          </w:tcPr>
          <w:p w14:paraId="13B68901">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内配有试验线、试验夹、绝缘色带、万用表、扳手、螺丝刀等常用工具</w:t>
            </w:r>
          </w:p>
        </w:tc>
      </w:tr>
      <w:tr w14:paraId="55E9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75" w:type="pct"/>
            <w:vAlign w:val="center"/>
          </w:tcPr>
          <w:p w14:paraId="3165FB1A">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964" w:type="pct"/>
            <w:vAlign w:val="center"/>
          </w:tcPr>
          <w:p w14:paraId="288CFD9A">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电源电缆盘</w:t>
            </w:r>
          </w:p>
        </w:tc>
        <w:tc>
          <w:tcPr>
            <w:tcW w:w="870" w:type="pct"/>
            <w:vAlign w:val="center"/>
          </w:tcPr>
          <w:p w14:paraId="23DEF0FF">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220V</w:t>
            </w:r>
          </w:p>
        </w:tc>
        <w:tc>
          <w:tcPr>
            <w:tcW w:w="747" w:type="pct"/>
            <w:vAlign w:val="center"/>
          </w:tcPr>
          <w:p w14:paraId="43B7F5B7">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623" w:type="pct"/>
            <w:vAlign w:val="center"/>
          </w:tcPr>
          <w:p w14:paraId="00DB22BE">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418" w:type="pct"/>
          </w:tcPr>
          <w:p w14:paraId="3510857F">
            <w:pPr>
              <w:spacing w:line="240" w:lineRule="auto"/>
              <w:jc w:val="center"/>
              <w:rPr>
                <w:rFonts w:hint="eastAsia" w:ascii="宋体" w:hAnsi="宋体" w:eastAsia="宋体" w:cs="宋体"/>
                <w:sz w:val="24"/>
                <w:szCs w:val="24"/>
                <w:highlight w:val="none"/>
              </w:rPr>
            </w:pPr>
          </w:p>
        </w:tc>
      </w:tr>
      <w:tr w14:paraId="6600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75" w:type="pct"/>
            <w:vAlign w:val="center"/>
          </w:tcPr>
          <w:p w14:paraId="5FA17AFB">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964" w:type="pct"/>
            <w:vAlign w:val="center"/>
          </w:tcPr>
          <w:p w14:paraId="085EFE62">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温、湿度计</w:t>
            </w:r>
          </w:p>
        </w:tc>
        <w:tc>
          <w:tcPr>
            <w:tcW w:w="870" w:type="pct"/>
            <w:vAlign w:val="center"/>
          </w:tcPr>
          <w:p w14:paraId="01892A6C">
            <w:pPr>
              <w:spacing w:line="24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747" w:type="pct"/>
            <w:vAlign w:val="center"/>
          </w:tcPr>
          <w:p w14:paraId="5B241E4B">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623" w:type="pct"/>
            <w:vAlign w:val="center"/>
          </w:tcPr>
          <w:p w14:paraId="415D40E0">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18" w:type="pct"/>
          </w:tcPr>
          <w:p w14:paraId="217278F6">
            <w:pPr>
              <w:spacing w:line="240" w:lineRule="auto"/>
              <w:jc w:val="center"/>
              <w:rPr>
                <w:rFonts w:hint="eastAsia" w:ascii="宋体" w:hAnsi="宋体" w:eastAsia="宋体" w:cs="宋体"/>
                <w:sz w:val="24"/>
                <w:szCs w:val="24"/>
                <w:highlight w:val="none"/>
              </w:rPr>
            </w:pPr>
          </w:p>
        </w:tc>
      </w:tr>
      <w:tr w14:paraId="0547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75" w:type="pct"/>
            <w:vAlign w:val="center"/>
          </w:tcPr>
          <w:p w14:paraId="2C548039">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964" w:type="pct"/>
            <w:vAlign w:val="center"/>
          </w:tcPr>
          <w:p w14:paraId="2558AC4A">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电工作业绝缘梯</w:t>
            </w:r>
          </w:p>
        </w:tc>
        <w:tc>
          <w:tcPr>
            <w:tcW w:w="870" w:type="pct"/>
            <w:vAlign w:val="center"/>
          </w:tcPr>
          <w:p w14:paraId="171BCB5F">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747" w:type="pct"/>
            <w:vAlign w:val="center"/>
          </w:tcPr>
          <w:p w14:paraId="212C2F32">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把</w:t>
            </w:r>
          </w:p>
        </w:tc>
        <w:tc>
          <w:tcPr>
            <w:tcW w:w="623" w:type="pct"/>
            <w:vAlign w:val="center"/>
          </w:tcPr>
          <w:p w14:paraId="33E13E4C">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418" w:type="pct"/>
          </w:tcPr>
          <w:p w14:paraId="521AF309">
            <w:pPr>
              <w:spacing w:line="240" w:lineRule="auto"/>
              <w:jc w:val="center"/>
              <w:rPr>
                <w:rFonts w:hint="eastAsia" w:ascii="宋体" w:hAnsi="宋体" w:eastAsia="宋体" w:cs="宋体"/>
                <w:sz w:val="24"/>
                <w:szCs w:val="24"/>
                <w:highlight w:val="none"/>
              </w:rPr>
            </w:pPr>
          </w:p>
        </w:tc>
      </w:tr>
      <w:tr w14:paraId="7CE0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75" w:type="pct"/>
            <w:vAlign w:val="center"/>
          </w:tcPr>
          <w:p w14:paraId="60DA83E5">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964" w:type="pct"/>
            <w:vAlign w:val="center"/>
          </w:tcPr>
          <w:p w14:paraId="06550EE6">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交通工具车</w:t>
            </w:r>
          </w:p>
        </w:tc>
        <w:tc>
          <w:tcPr>
            <w:tcW w:w="870" w:type="pct"/>
            <w:vAlign w:val="center"/>
          </w:tcPr>
          <w:p w14:paraId="70D9EEFA">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747" w:type="pct"/>
            <w:vAlign w:val="center"/>
          </w:tcPr>
          <w:p w14:paraId="6348A473">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辆</w:t>
            </w:r>
          </w:p>
        </w:tc>
        <w:tc>
          <w:tcPr>
            <w:tcW w:w="623" w:type="pct"/>
            <w:vAlign w:val="center"/>
          </w:tcPr>
          <w:p w14:paraId="128F4F9A">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18" w:type="pct"/>
          </w:tcPr>
          <w:p w14:paraId="1BD6427A">
            <w:pPr>
              <w:spacing w:line="240" w:lineRule="auto"/>
              <w:jc w:val="center"/>
              <w:rPr>
                <w:rFonts w:hint="eastAsia" w:ascii="宋体" w:hAnsi="宋体" w:eastAsia="宋体" w:cs="宋体"/>
                <w:sz w:val="24"/>
                <w:szCs w:val="24"/>
                <w:highlight w:val="none"/>
              </w:rPr>
            </w:pPr>
          </w:p>
        </w:tc>
      </w:tr>
      <w:tr w14:paraId="1D35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75" w:type="pct"/>
            <w:vAlign w:val="center"/>
          </w:tcPr>
          <w:p w14:paraId="262E6757">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964" w:type="pct"/>
            <w:vAlign w:val="center"/>
          </w:tcPr>
          <w:p w14:paraId="2A08C319">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应急灯</w:t>
            </w:r>
          </w:p>
        </w:tc>
        <w:tc>
          <w:tcPr>
            <w:tcW w:w="870" w:type="pct"/>
            <w:vAlign w:val="center"/>
          </w:tcPr>
          <w:p w14:paraId="2C1AB2DE">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w:t>
            </w:r>
          </w:p>
        </w:tc>
        <w:tc>
          <w:tcPr>
            <w:tcW w:w="747" w:type="pct"/>
            <w:vAlign w:val="center"/>
          </w:tcPr>
          <w:p w14:paraId="5C6F8D3F">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盏</w:t>
            </w:r>
          </w:p>
        </w:tc>
        <w:tc>
          <w:tcPr>
            <w:tcW w:w="623" w:type="pct"/>
            <w:vAlign w:val="center"/>
          </w:tcPr>
          <w:p w14:paraId="352641FB">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18" w:type="pct"/>
          </w:tcPr>
          <w:p w14:paraId="6DBE481E">
            <w:pPr>
              <w:spacing w:line="240" w:lineRule="auto"/>
              <w:jc w:val="center"/>
              <w:rPr>
                <w:rFonts w:hint="eastAsia" w:ascii="宋体" w:hAnsi="宋体" w:eastAsia="宋体" w:cs="宋体"/>
                <w:sz w:val="24"/>
                <w:szCs w:val="24"/>
                <w:highlight w:val="none"/>
              </w:rPr>
            </w:pPr>
          </w:p>
        </w:tc>
      </w:tr>
      <w:tr w14:paraId="5B0C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75" w:type="pct"/>
            <w:vAlign w:val="center"/>
          </w:tcPr>
          <w:p w14:paraId="66FD0CAE">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964" w:type="pct"/>
            <w:vAlign w:val="center"/>
          </w:tcPr>
          <w:p w14:paraId="55AB841F">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头灯</w:t>
            </w:r>
          </w:p>
        </w:tc>
        <w:tc>
          <w:tcPr>
            <w:tcW w:w="870" w:type="pct"/>
            <w:vAlign w:val="center"/>
          </w:tcPr>
          <w:p w14:paraId="7C443033">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w:t>
            </w:r>
          </w:p>
        </w:tc>
        <w:tc>
          <w:tcPr>
            <w:tcW w:w="747" w:type="pct"/>
            <w:vAlign w:val="center"/>
          </w:tcPr>
          <w:p w14:paraId="27F19C96">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只</w:t>
            </w:r>
          </w:p>
        </w:tc>
        <w:tc>
          <w:tcPr>
            <w:tcW w:w="623" w:type="pct"/>
            <w:vAlign w:val="center"/>
          </w:tcPr>
          <w:p w14:paraId="6AE7F13B">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418" w:type="pct"/>
          </w:tcPr>
          <w:p w14:paraId="3A8EA459">
            <w:pPr>
              <w:spacing w:line="240" w:lineRule="auto"/>
              <w:jc w:val="center"/>
              <w:rPr>
                <w:rFonts w:hint="eastAsia" w:ascii="宋体" w:hAnsi="宋体" w:eastAsia="宋体" w:cs="宋体"/>
                <w:sz w:val="24"/>
                <w:szCs w:val="24"/>
                <w:highlight w:val="none"/>
              </w:rPr>
            </w:pPr>
          </w:p>
        </w:tc>
      </w:tr>
      <w:tr w14:paraId="1D95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75" w:type="pct"/>
            <w:vAlign w:val="center"/>
          </w:tcPr>
          <w:p w14:paraId="14AF0ADD">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964" w:type="pct"/>
            <w:vAlign w:val="center"/>
          </w:tcPr>
          <w:p w14:paraId="04607F24">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套筒</w:t>
            </w:r>
          </w:p>
        </w:tc>
        <w:tc>
          <w:tcPr>
            <w:tcW w:w="870" w:type="pct"/>
            <w:vAlign w:val="center"/>
          </w:tcPr>
          <w:p w14:paraId="446DFABC">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8-32MM</w:t>
            </w:r>
          </w:p>
        </w:tc>
        <w:tc>
          <w:tcPr>
            <w:tcW w:w="747" w:type="pct"/>
            <w:vAlign w:val="center"/>
          </w:tcPr>
          <w:p w14:paraId="700C1E68">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623" w:type="pct"/>
            <w:vAlign w:val="center"/>
          </w:tcPr>
          <w:p w14:paraId="1F344763">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18" w:type="pct"/>
          </w:tcPr>
          <w:p w14:paraId="0D0D8F40">
            <w:pPr>
              <w:spacing w:line="240" w:lineRule="auto"/>
              <w:jc w:val="center"/>
              <w:rPr>
                <w:rFonts w:hint="eastAsia" w:ascii="宋体" w:hAnsi="宋体" w:eastAsia="宋体" w:cs="宋体"/>
                <w:sz w:val="24"/>
                <w:szCs w:val="24"/>
                <w:highlight w:val="none"/>
              </w:rPr>
            </w:pPr>
          </w:p>
        </w:tc>
      </w:tr>
      <w:tr w14:paraId="5555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75" w:type="pct"/>
            <w:vAlign w:val="center"/>
          </w:tcPr>
          <w:p w14:paraId="259C106E">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964" w:type="pct"/>
            <w:vAlign w:val="center"/>
          </w:tcPr>
          <w:p w14:paraId="1A15C44D">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普通扳手</w:t>
            </w:r>
          </w:p>
        </w:tc>
        <w:tc>
          <w:tcPr>
            <w:tcW w:w="870" w:type="pct"/>
            <w:vAlign w:val="center"/>
          </w:tcPr>
          <w:p w14:paraId="4FFDD6A2">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6-32MM</w:t>
            </w:r>
          </w:p>
        </w:tc>
        <w:tc>
          <w:tcPr>
            <w:tcW w:w="747" w:type="pct"/>
            <w:vAlign w:val="center"/>
          </w:tcPr>
          <w:p w14:paraId="70334830">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623" w:type="pct"/>
            <w:vAlign w:val="center"/>
          </w:tcPr>
          <w:p w14:paraId="369BF023">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18" w:type="pct"/>
          </w:tcPr>
          <w:p w14:paraId="10CE2358">
            <w:pPr>
              <w:spacing w:line="240" w:lineRule="auto"/>
              <w:jc w:val="center"/>
              <w:rPr>
                <w:rFonts w:hint="eastAsia" w:ascii="宋体" w:hAnsi="宋体" w:eastAsia="宋体" w:cs="宋体"/>
                <w:sz w:val="24"/>
                <w:szCs w:val="24"/>
                <w:highlight w:val="none"/>
              </w:rPr>
            </w:pPr>
          </w:p>
        </w:tc>
      </w:tr>
      <w:tr w14:paraId="40B09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75" w:type="pct"/>
            <w:vAlign w:val="center"/>
          </w:tcPr>
          <w:p w14:paraId="1F095985">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964" w:type="pct"/>
            <w:vAlign w:val="center"/>
          </w:tcPr>
          <w:p w14:paraId="5C8AA8FD">
            <w:pPr>
              <w:spacing w:line="240" w:lineRule="auto"/>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活动扳手</w:t>
            </w:r>
          </w:p>
        </w:tc>
        <w:tc>
          <w:tcPr>
            <w:tcW w:w="870" w:type="pct"/>
            <w:vAlign w:val="center"/>
          </w:tcPr>
          <w:p w14:paraId="080C8967">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6、8、10、12寸</w:t>
            </w:r>
          </w:p>
        </w:tc>
        <w:tc>
          <w:tcPr>
            <w:tcW w:w="747" w:type="pct"/>
            <w:vAlign w:val="center"/>
          </w:tcPr>
          <w:p w14:paraId="05858F70">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把</w:t>
            </w:r>
          </w:p>
        </w:tc>
        <w:tc>
          <w:tcPr>
            <w:tcW w:w="623" w:type="pct"/>
            <w:vAlign w:val="center"/>
          </w:tcPr>
          <w:p w14:paraId="7E52D303">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418" w:type="pct"/>
          </w:tcPr>
          <w:p w14:paraId="695B4B3D">
            <w:pPr>
              <w:spacing w:line="240" w:lineRule="auto"/>
              <w:jc w:val="center"/>
              <w:rPr>
                <w:rFonts w:hint="eastAsia" w:ascii="宋体" w:hAnsi="宋体" w:eastAsia="宋体" w:cs="宋体"/>
                <w:sz w:val="24"/>
                <w:szCs w:val="24"/>
                <w:highlight w:val="none"/>
              </w:rPr>
            </w:pPr>
          </w:p>
        </w:tc>
      </w:tr>
    </w:tbl>
    <w:p w14:paraId="00F5BA5F">
      <w:pPr>
        <w:pStyle w:val="5"/>
        <w:numPr>
          <w:ilvl w:val="1"/>
          <w:numId w:val="0"/>
        </w:numPr>
        <w:spacing w:before="163" w:after="163"/>
        <w:ind w:left="0" w:leftChars="0" w:firstLine="0" w:firstLineChars="0"/>
        <w:rPr>
          <w:rFonts w:hint="eastAsia" w:ascii="宋体" w:hAnsi="宋体" w:eastAsia="宋体" w:cs="宋体"/>
          <w:sz w:val="24"/>
          <w:szCs w:val="24"/>
          <w:highlight w:val="none"/>
        </w:rPr>
      </w:pPr>
      <w:r>
        <w:rPr>
          <w:rFonts w:hint="eastAsia" w:ascii="宋体" w:hAnsi="宋体" w:cs="宋体"/>
          <w:b/>
          <w:bCs w:val="0"/>
          <w:i w:val="0"/>
          <w:iCs w:val="0"/>
          <w:caps w:val="0"/>
          <w:smallCaps w:val="0"/>
          <w:strike w:val="0"/>
          <w:dstrike w:val="0"/>
          <w:vanish w:val="0"/>
          <w:spacing w:val="0"/>
          <w:kern w:val="2"/>
          <w:position w:val="0"/>
          <w:sz w:val="24"/>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（二）</w:t>
      </w:r>
      <w:r>
        <w:rPr>
          <w:rFonts w:hint="eastAsia" w:ascii="宋体" w:hAnsi="宋体" w:eastAsia="宋体" w:cs="宋体"/>
          <w:sz w:val="24"/>
          <w:szCs w:val="24"/>
          <w:highlight w:val="none"/>
        </w:rPr>
        <w:t>安全防护用品准备</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675"/>
        <w:gridCol w:w="1514"/>
        <w:gridCol w:w="1297"/>
        <w:gridCol w:w="900"/>
        <w:gridCol w:w="2484"/>
      </w:tblGrid>
      <w:tr w14:paraId="7713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jc w:val="center"/>
        </w:trPr>
        <w:tc>
          <w:tcPr>
            <w:tcW w:w="381" w:type="pct"/>
            <w:shd w:val="clear" w:color="auto" w:fill="FFFFFF"/>
            <w:vAlign w:val="center"/>
          </w:tcPr>
          <w:p w14:paraId="47870F1D">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983" w:type="pct"/>
            <w:shd w:val="clear" w:color="auto" w:fill="FFFFFF"/>
            <w:vAlign w:val="center"/>
          </w:tcPr>
          <w:p w14:paraId="34193DB6">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p>
        </w:tc>
        <w:tc>
          <w:tcPr>
            <w:tcW w:w="888" w:type="pct"/>
            <w:shd w:val="clear" w:color="auto" w:fill="FFFFFF"/>
            <w:vAlign w:val="center"/>
          </w:tcPr>
          <w:p w14:paraId="16DD6305">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    格</w:t>
            </w:r>
          </w:p>
        </w:tc>
        <w:tc>
          <w:tcPr>
            <w:tcW w:w="761" w:type="pct"/>
            <w:shd w:val="clear" w:color="auto" w:fill="FFFFFF"/>
            <w:vAlign w:val="center"/>
          </w:tcPr>
          <w:p w14:paraId="07A8DED5">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w:t>
            </w:r>
          </w:p>
        </w:tc>
        <w:tc>
          <w:tcPr>
            <w:tcW w:w="528" w:type="pct"/>
            <w:shd w:val="clear" w:color="auto" w:fill="FFFFFF"/>
            <w:vAlign w:val="center"/>
          </w:tcPr>
          <w:p w14:paraId="629C0121">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457" w:type="pct"/>
            <w:shd w:val="clear" w:color="auto" w:fill="FFFFFF"/>
          </w:tcPr>
          <w:p w14:paraId="42FAC6F7">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14:paraId="2B7B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 w:hRule="atLeast"/>
          <w:jc w:val="center"/>
        </w:trPr>
        <w:tc>
          <w:tcPr>
            <w:tcW w:w="381" w:type="pct"/>
            <w:vAlign w:val="center"/>
          </w:tcPr>
          <w:p w14:paraId="237E02E0">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83" w:type="pct"/>
            <w:vAlign w:val="center"/>
          </w:tcPr>
          <w:p w14:paraId="1F8C52A0">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安全带</w:t>
            </w:r>
          </w:p>
        </w:tc>
        <w:tc>
          <w:tcPr>
            <w:tcW w:w="888" w:type="pct"/>
            <w:vAlign w:val="center"/>
          </w:tcPr>
          <w:p w14:paraId="0EE8557C">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全身式</w:t>
            </w:r>
          </w:p>
        </w:tc>
        <w:tc>
          <w:tcPr>
            <w:tcW w:w="761" w:type="pct"/>
            <w:vAlign w:val="center"/>
          </w:tcPr>
          <w:p w14:paraId="2465D3EA">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根</w:t>
            </w:r>
          </w:p>
        </w:tc>
        <w:tc>
          <w:tcPr>
            <w:tcW w:w="528" w:type="pct"/>
            <w:vAlign w:val="center"/>
          </w:tcPr>
          <w:p w14:paraId="1EEA321F">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57" w:type="pct"/>
          </w:tcPr>
          <w:p w14:paraId="5D26E013">
            <w:pPr>
              <w:spacing w:line="240" w:lineRule="auto"/>
              <w:jc w:val="center"/>
              <w:rPr>
                <w:rFonts w:hint="eastAsia" w:ascii="宋体" w:hAnsi="宋体" w:eastAsia="宋体" w:cs="宋体"/>
                <w:sz w:val="24"/>
                <w:szCs w:val="24"/>
                <w:highlight w:val="none"/>
              </w:rPr>
            </w:pPr>
          </w:p>
        </w:tc>
      </w:tr>
      <w:tr w14:paraId="6ACC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81" w:type="pct"/>
            <w:vAlign w:val="center"/>
          </w:tcPr>
          <w:p w14:paraId="26E59ED6">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983" w:type="pct"/>
            <w:vAlign w:val="center"/>
          </w:tcPr>
          <w:p w14:paraId="16EF3796">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安全帽</w:t>
            </w:r>
          </w:p>
        </w:tc>
        <w:tc>
          <w:tcPr>
            <w:tcW w:w="888" w:type="pct"/>
            <w:vAlign w:val="center"/>
          </w:tcPr>
          <w:p w14:paraId="69E2DB88">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ABS</w:t>
            </w:r>
          </w:p>
        </w:tc>
        <w:tc>
          <w:tcPr>
            <w:tcW w:w="761" w:type="pct"/>
            <w:vAlign w:val="center"/>
          </w:tcPr>
          <w:p w14:paraId="5A3F8EE3">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顶</w:t>
            </w:r>
          </w:p>
        </w:tc>
        <w:tc>
          <w:tcPr>
            <w:tcW w:w="528" w:type="pct"/>
            <w:vAlign w:val="center"/>
          </w:tcPr>
          <w:p w14:paraId="556EB80A">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若干</w:t>
            </w:r>
          </w:p>
        </w:tc>
        <w:tc>
          <w:tcPr>
            <w:tcW w:w="1457" w:type="pct"/>
          </w:tcPr>
          <w:p w14:paraId="40057E2C">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工作人员每人一顶</w:t>
            </w:r>
          </w:p>
        </w:tc>
      </w:tr>
      <w:tr w14:paraId="6761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81" w:type="pct"/>
            <w:vAlign w:val="center"/>
          </w:tcPr>
          <w:p w14:paraId="2A9334BA">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983" w:type="pct"/>
            <w:vAlign w:val="center"/>
          </w:tcPr>
          <w:p w14:paraId="5933ED5C">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安全围栏</w:t>
            </w:r>
          </w:p>
        </w:tc>
        <w:tc>
          <w:tcPr>
            <w:tcW w:w="888" w:type="pct"/>
            <w:vAlign w:val="center"/>
          </w:tcPr>
          <w:p w14:paraId="2B9EC8AC">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10米</w:t>
            </w:r>
          </w:p>
        </w:tc>
        <w:tc>
          <w:tcPr>
            <w:tcW w:w="761" w:type="pct"/>
            <w:vAlign w:val="center"/>
          </w:tcPr>
          <w:p w14:paraId="2D03FF67">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卷</w:t>
            </w:r>
          </w:p>
        </w:tc>
        <w:tc>
          <w:tcPr>
            <w:tcW w:w="528" w:type="pct"/>
            <w:vAlign w:val="center"/>
          </w:tcPr>
          <w:p w14:paraId="3FA5E7EE">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若干</w:t>
            </w:r>
          </w:p>
        </w:tc>
        <w:tc>
          <w:tcPr>
            <w:tcW w:w="1457" w:type="pct"/>
          </w:tcPr>
          <w:p w14:paraId="366213A2">
            <w:pPr>
              <w:spacing w:line="240" w:lineRule="auto"/>
              <w:jc w:val="center"/>
              <w:rPr>
                <w:rFonts w:hint="eastAsia" w:ascii="宋体" w:hAnsi="宋体" w:eastAsia="宋体" w:cs="宋体"/>
                <w:sz w:val="24"/>
                <w:szCs w:val="24"/>
                <w:highlight w:val="none"/>
              </w:rPr>
            </w:pPr>
          </w:p>
        </w:tc>
      </w:tr>
      <w:tr w14:paraId="45D4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81" w:type="pct"/>
            <w:vAlign w:val="center"/>
          </w:tcPr>
          <w:p w14:paraId="1A662315">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983" w:type="pct"/>
            <w:vAlign w:val="center"/>
          </w:tcPr>
          <w:p w14:paraId="457F99BF">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绝缘手套</w:t>
            </w:r>
          </w:p>
        </w:tc>
        <w:tc>
          <w:tcPr>
            <w:tcW w:w="888" w:type="pct"/>
            <w:vAlign w:val="center"/>
          </w:tcPr>
          <w:p w14:paraId="69C23723">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耐压10KV</w:t>
            </w:r>
          </w:p>
        </w:tc>
        <w:tc>
          <w:tcPr>
            <w:tcW w:w="761" w:type="pct"/>
            <w:vAlign w:val="center"/>
          </w:tcPr>
          <w:p w14:paraId="61EFBCC7">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双</w:t>
            </w:r>
          </w:p>
        </w:tc>
        <w:tc>
          <w:tcPr>
            <w:tcW w:w="528" w:type="pct"/>
            <w:vAlign w:val="center"/>
          </w:tcPr>
          <w:p w14:paraId="25788211">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57" w:type="pct"/>
          </w:tcPr>
          <w:p w14:paraId="20CE1D9F">
            <w:pPr>
              <w:spacing w:line="240" w:lineRule="auto"/>
              <w:jc w:val="center"/>
              <w:rPr>
                <w:rFonts w:hint="eastAsia" w:ascii="宋体" w:hAnsi="宋体" w:eastAsia="宋体" w:cs="宋体"/>
                <w:sz w:val="24"/>
                <w:szCs w:val="24"/>
                <w:highlight w:val="none"/>
              </w:rPr>
            </w:pPr>
          </w:p>
        </w:tc>
      </w:tr>
      <w:tr w14:paraId="7EE3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81" w:type="pct"/>
            <w:vAlign w:val="center"/>
          </w:tcPr>
          <w:p w14:paraId="719DA266">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983" w:type="pct"/>
            <w:vAlign w:val="center"/>
          </w:tcPr>
          <w:p w14:paraId="276E7A39">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绝缘靴</w:t>
            </w:r>
          </w:p>
        </w:tc>
        <w:tc>
          <w:tcPr>
            <w:tcW w:w="888" w:type="pct"/>
            <w:vAlign w:val="center"/>
          </w:tcPr>
          <w:p w14:paraId="2A97BF25">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耐压25KV</w:t>
            </w:r>
          </w:p>
        </w:tc>
        <w:tc>
          <w:tcPr>
            <w:tcW w:w="761" w:type="pct"/>
            <w:vAlign w:val="center"/>
          </w:tcPr>
          <w:p w14:paraId="3D315B56">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双</w:t>
            </w:r>
          </w:p>
        </w:tc>
        <w:tc>
          <w:tcPr>
            <w:tcW w:w="528" w:type="pct"/>
            <w:vAlign w:val="center"/>
          </w:tcPr>
          <w:p w14:paraId="6B19A9E6">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57" w:type="pct"/>
          </w:tcPr>
          <w:p w14:paraId="5A4FE195">
            <w:pPr>
              <w:spacing w:line="240" w:lineRule="auto"/>
              <w:jc w:val="center"/>
              <w:rPr>
                <w:rFonts w:hint="eastAsia" w:ascii="宋体" w:hAnsi="宋体" w:eastAsia="宋体" w:cs="宋体"/>
                <w:sz w:val="24"/>
                <w:szCs w:val="24"/>
                <w:highlight w:val="none"/>
              </w:rPr>
            </w:pPr>
          </w:p>
        </w:tc>
      </w:tr>
      <w:tr w14:paraId="36AF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81" w:type="pct"/>
            <w:vAlign w:val="center"/>
          </w:tcPr>
          <w:p w14:paraId="48CA70FC">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983" w:type="pct"/>
            <w:vAlign w:val="center"/>
          </w:tcPr>
          <w:p w14:paraId="3222900F">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验电笔</w:t>
            </w:r>
          </w:p>
        </w:tc>
        <w:tc>
          <w:tcPr>
            <w:tcW w:w="888" w:type="pct"/>
            <w:vAlign w:val="center"/>
          </w:tcPr>
          <w:p w14:paraId="384A1150">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0.4、12KV</w:t>
            </w:r>
          </w:p>
        </w:tc>
        <w:tc>
          <w:tcPr>
            <w:tcW w:w="761" w:type="pct"/>
            <w:vAlign w:val="center"/>
          </w:tcPr>
          <w:p w14:paraId="7E208CC6">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只</w:t>
            </w:r>
          </w:p>
        </w:tc>
        <w:tc>
          <w:tcPr>
            <w:tcW w:w="528" w:type="pct"/>
            <w:vAlign w:val="center"/>
          </w:tcPr>
          <w:p w14:paraId="3118124E">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57" w:type="pct"/>
          </w:tcPr>
          <w:p w14:paraId="56CA289F">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接触式、感应式各一只</w:t>
            </w:r>
          </w:p>
        </w:tc>
      </w:tr>
      <w:tr w14:paraId="5A5D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81" w:type="pct"/>
            <w:vAlign w:val="center"/>
          </w:tcPr>
          <w:p w14:paraId="2D2BA350">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983" w:type="pct"/>
            <w:vAlign w:val="center"/>
          </w:tcPr>
          <w:p w14:paraId="0D913396">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跨接地线</w:t>
            </w:r>
          </w:p>
        </w:tc>
        <w:tc>
          <w:tcPr>
            <w:tcW w:w="888" w:type="pct"/>
            <w:vAlign w:val="center"/>
          </w:tcPr>
          <w:p w14:paraId="73FAC7F2">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10KV</w:t>
            </w:r>
          </w:p>
        </w:tc>
        <w:tc>
          <w:tcPr>
            <w:tcW w:w="761" w:type="pct"/>
            <w:vAlign w:val="center"/>
          </w:tcPr>
          <w:p w14:paraId="392F5B89">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只</w:t>
            </w:r>
          </w:p>
        </w:tc>
        <w:tc>
          <w:tcPr>
            <w:tcW w:w="528" w:type="pct"/>
            <w:vAlign w:val="center"/>
          </w:tcPr>
          <w:p w14:paraId="622923E0">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若干</w:t>
            </w:r>
          </w:p>
        </w:tc>
        <w:tc>
          <w:tcPr>
            <w:tcW w:w="1457" w:type="pct"/>
          </w:tcPr>
          <w:p w14:paraId="05681C7F">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与耐压设备配套</w:t>
            </w:r>
          </w:p>
        </w:tc>
      </w:tr>
      <w:tr w14:paraId="4D52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81" w:type="pct"/>
            <w:vAlign w:val="center"/>
          </w:tcPr>
          <w:p w14:paraId="2A3301DD">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983" w:type="pct"/>
            <w:vAlign w:val="center"/>
          </w:tcPr>
          <w:p w14:paraId="0E50B83A">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各种标识牌</w:t>
            </w:r>
          </w:p>
        </w:tc>
        <w:tc>
          <w:tcPr>
            <w:tcW w:w="888" w:type="pct"/>
            <w:vAlign w:val="center"/>
          </w:tcPr>
          <w:p w14:paraId="6676CCCE">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亚克力</w:t>
            </w:r>
          </w:p>
        </w:tc>
        <w:tc>
          <w:tcPr>
            <w:tcW w:w="761" w:type="pct"/>
            <w:vAlign w:val="center"/>
          </w:tcPr>
          <w:p w14:paraId="63D9A924">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块</w:t>
            </w:r>
          </w:p>
        </w:tc>
        <w:tc>
          <w:tcPr>
            <w:tcW w:w="528" w:type="pct"/>
            <w:vAlign w:val="center"/>
          </w:tcPr>
          <w:p w14:paraId="0C363810">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若干</w:t>
            </w:r>
          </w:p>
        </w:tc>
        <w:tc>
          <w:tcPr>
            <w:tcW w:w="1457" w:type="pct"/>
          </w:tcPr>
          <w:p w14:paraId="46B5676C">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“禁止合闸，有人工作！”等标识牌</w:t>
            </w:r>
          </w:p>
        </w:tc>
      </w:tr>
      <w:tr w14:paraId="0204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81" w:type="pct"/>
            <w:vAlign w:val="center"/>
          </w:tcPr>
          <w:p w14:paraId="01A95433">
            <w:pPr>
              <w:spacing w:line="240" w:lineRule="auto"/>
              <w:jc w:val="center"/>
              <w:rPr>
                <w:rFonts w:hint="eastAsia" w:ascii="宋体" w:hAnsi="宋体" w:eastAsia="宋体" w:cs="宋体"/>
                <w:sz w:val="24"/>
                <w:szCs w:val="24"/>
                <w:highlight w:val="none"/>
                <w:lang w:val="en-US" w:eastAsia="zh-CN"/>
              </w:rPr>
            </w:pPr>
            <w:bookmarkStart w:id="9" w:name="_Toc245650295"/>
            <w:r>
              <w:rPr>
                <w:rFonts w:hint="eastAsia" w:ascii="宋体" w:hAnsi="宋体" w:eastAsia="宋体" w:cs="宋体"/>
                <w:sz w:val="24"/>
                <w:szCs w:val="24"/>
                <w:highlight w:val="none"/>
                <w:lang w:val="en-US" w:eastAsia="zh-CN"/>
              </w:rPr>
              <w:t>9</w:t>
            </w:r>
          </w:p>
        </w:tc>
        <w:tc>
          <w:tcPr>
            <w:tcW w:w="983" w:type="pct"/>
            <w:shd w:val="clear" w:color="auto" w:fill="auto"/>
            <w:vAlign w:val="center"/>
          </w:tcPr>
          <w:p w14:paraId="612D7A4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红外成像仪</w:t>
            </w:r>
          </w:p>
        </w:tc>
        <w:tc>
          <w:tcPr>
            <w:tcW w:w="888" w:type="pct"/>
            <w:shd w:val="clear" w:color="auto" w:fill="auto"/>
            <w:vAlign w:val="center"/>
          </w:tcPr>
          <w:p w14:paraId="0D7A5E8E">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HM-TPH13</w:t>
            </w:r>
          </w:p>
        </w:tc>
        <w:tc>
          <w:tcPr>
            <w:tcW w:w="761" w:type="pct"/>
            <w:shd w:val="clear" w:color="auto" w:fill="auto"/>
            <w:vAlign w:val="center"/>
          </w:tcPr>
          <w:p w14:paraId="2921F050">
            <w:pPr>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套</w:t>
            </w:r>
          </w:p>
        </w:tc>
        <w:tc>
          <w:tcPr>
            <w:tcW w:w="528" w:type="pct"/>
            <w:shd w:val="clear" w:color="auto" w:fill="auto"/>
            <w:vAlign w:val="center"/>
          </w:tcPr>
          <w:p w14:paraId="64F47B5B">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2</w:t>
            </w:r>
          </w:p>
        </w:tc>
        <w:tc>
          <w:tcPr>
            <w:tcW w:w="1457" w:type="pct"/>
          </w:tcPr>
          <w:p w14:paraId="2D3B4602">
            <w:pPr>
              <w:spacing w:line="240" w:lineRule="auto"/>
              <w:jc w:val="center"/>
              <w:rPr>
                <w:rFonts w:hint="eastAsia" w:ascii="宋体" w:hAnsi="宋体" w:eastAsia="宋体" w:cs="宋体"/>
                <w:sz w:val="24"/>
                <w:szCs w:val="24"/>
                <w:highlight w:val="none"/>
              </w:rPr>
            </w:pPr>
          </w:p>
        </w:tc>
      </w:tr>
      <w:bookmarkEnd w:id="9"/>
    </w:tbl>
    <w:p w14:paraId="1183F616"/>
    <w:p w14:paraId="177DC016"/>
    <w:p w14:paraId="65DFAE36">
      <w:r>
        <w:br w:type="page"/>
      </w:r>
    </w:p>
    <w:p w14:paraId="2AE7242D">
      <w:pPr>
        <w:rPr>
          <w:rFonts w:hint="eastAsia"/>
          <w:b/>
          <w:bCs/>
          <w:sz w:val="24"/>
          <w:szCs w:val="24"/>
          <w:lang w:val="en-US" w:eastAsia="zh-CN"/>
        </w:rPr>
      </w:pPr>
      <w:r>
        <w:rPr>
          <w:rFonts w:hint="eastAsia"/>
          <w:b/>
          <w:bCs/>
          <w:sz w:val="24"/>
          <w:szCs w:val="24"/>
          <w:lang w:val="en-US" w:eastAsia="zh-CN"/>
        </w:rPr>
        <w:t>附件二、服务考核表</w:t>
      </w: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7"/>
        <w:gridCol w:w="1200"/>
        <w:gridCol w:w="4937"/>
        <w:gridCol w:w="950"/>
        <w:gridCol w:w="923"/>
      </w:tblGrid>
      <w:tr w14:paraId="090E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26407D8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变配电系统维保服务考核表</w:t>
            </w:r>
          </w:p>
        </w:tc>
      </w:tr>
      <w:tr w14:paraId="02AC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4BFD68E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评价时段：   年  月   日-  年    月   日</w:t>
            </w:r>
          </w:p>
        </w:tc>
      </w:tr>
      <w:tr w14:paraId="3D232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tcBorders>
              <w:top w:val="single" w:color="000000" w:sz="4" w:space="0"/>
              <w:left w:val="single" w:color="000000" w:sz="4" w:space="0"/>
              <w:bottom w:val="single" w:color="000000" w:sz="4" w:space="0"/>
              <w:right w:val="single" w:color="000000" w:sz="4" w:space="0"/>
            </w:tcBorders>
            <w:noWrap/>
            <w:vAlign w:val="center"/>
          </w:tcPr>
          <w:p w14:paraId="4E9616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704" w:type="pct"/>
            <w:tcBorders>
              <w:top w:val="single" w:color="000000" w:sz="4" w:space="0"/>
              <w:left w:val="single" w:color="000000" w:sz="4" w:space="0"/>
              <w:bottom w:val="single" w:color="000000" w:sz="4" w:space="0"/>
              <w:right w:val="single" w:color="000000" w:sz="4" w:space="0"/>
            </w:tcBorders>
            <w:noWrap/>
            <w:vAlign w:val="center"/>
          </w:tcPr>
          <w:p w14:paraId="7DB2BC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内容</w:t>
            </w: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22C240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考核标准</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562A7B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得分 </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14:paraId="59A2EE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处罚原因</w:t>
            </w:r>
          </w:p>
        </w:tc>
      </w:tr>
      <w:tr w14:paraId="566EB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restart"/>
            <w:tcBorders>
              <w:top w:val="single" w:color="000000" w:sz="4" w:space="0"/>
              <w:left w:val="single" w:color="000000" w:sz="4" w:space="0"/>
              <w:right w:val="single" w:color="000000" w:sz="4" w:space="0"/>
            </w:tcBorders>
            <w:noWrap/>
            <w:vAlign w:val="center"/>
          </w:tcPr>
          <w:p w14:paraId="41BA4A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cs="宋体"/>
                <w:i w:val="0"/>
                <w:iCs w:val="0"/>
                <w:color w:val="auto"/>
                <w:sz w:val="24"/>
                <w:szCs w:val="24"/>
                <w:highlight w:val="none"/>
                <w:u w:val="none"/>
                <w:lang w:val="en-US" w:eastAsia="zh-CN"/>
              </w:rPr>
              <w:t>1</w:t>
            </w:r>
          </w:p>
        </w:tc>
        <w:tc>
          <w:tcPr>
            <w:tcW w:w="704" w:type="pct"/>
            <w:vMerge w:val="restart"/>
            <w:tcBorders>
              <w:top w:val="single" w:color="000000" w:sz="4" w:space="0"/>
              <w:left w:val="single" w:color="000000" w:sz="4" w:space="0"/>
              <w:right w:val="single" w:color="000000" w:sz="4" w:space="0"/>
            </w:tcBorders>
            <w:noWrap w:val="0"/>
            <w:vAlign w:val="center"/>
          </w:tcPr>
          <w:p w14:paraId="3426C1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服务质量</w:t>
            </w:r>
            <w:r>
              <w:rPr>
                <w:rFonts w:hint="eastAsia" w:ascii="宋体" w:hAnsi="宋体" w:cs="宋体"/>
                <w:i w:val="0"/>
                <w:iCs w:val="0"/>
                <w:color w:val="auto"/>
                <w:kern w:val="0"/>
                <w:sz w:val="24"/>
                <w:szCs w:val="24"/>
                <w:highlight w:val="none"/>
                <w:u w:val="none"/>
                <w:lang w:val="en-US" w:eastAsia="zh-CN" w:bidi="ar"/>
              </w:rPr>
              <w:t>及响应时间</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0分）</w:t>
            </w: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141DB3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中标人未按合同要求及相关行业规范提供服务、进行设备机组巡查</w:t>
            </w:r>
            <w:r>
              <w:rPr>
                <w:rFonts w:hint="eastAsia" w:ascii="宋体" w:hAnsi="宋体" w:cs="宋体"/>
                <w:i w:val="0"/>
                <w:iCs w:val="0"/>
                <w:color w:val="auto"/>
                <w:kern w:val="0"/>
                <w:sz w:val="24"/>
                <w:szCs w:val="24"/>
                <w:highlight w:val="none"/>
                <w:u w:val="none"/>
                <w:lang w:val="en-US" w:eastAsia="zh-CN" w:bidi="ar"/>
              </w:rPr>
              <w:t>的</w:t>
            </w:r>
            <w:r>
              <w:rPr>
                <w:rFonts w:hint="eastAsia" w:ascii="宋体" w:hAnsi="宋体" w:eastAsia="宋体" w:cs="宋体"/>
                <w:i w:val="0"/>
                <w:iCs w:val="0"/>
                <w:color w:val="auto"/>
                <w:kern w:val="0"/>
                <w:sz w:val="24"/>
                <w:szCs w:val="24"/>
                <w:highlight w:val="none"/>
                <w:u w:val="none"/>
                <w:lang w:val="en-US" w:eastAsia="zh-CN" w:bidi="ar"/>
              </w:rPr>
              <w:t>，或维修保养操作存在明显缺陷的，扣</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0分/次。</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5A5E57C6">
            <w:pPr>
              <w:jc w:val="center"/>
              <w:rPr>
                <w:rFonts w:hint="eastAsia" w:ascii="宋体" w:hAnsi="宋体" w:eastAsia="宋体" w:cs="宋体"/>
                <w:i w:val="0"/>
                <w:iCs w:val="0"/>
                <w:color w:val="auto"/>
                <w:sz w:val="24"/>
                <w:szCs w:val="24"/>
                <w:highlight w:val="none"/>
                <w:u w:val="none"/>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14:paraId="0CBB00C0">
            <w:pPr>
              <w:jc w:val="center"/>
              <w:rPr>
                <w:rFonts w:hint="eastAsia" w:ascii="宋体" w:hAnsi="宋体" w:eastAsia="宋体" w:cs="宋体"/>
                <w:i w:val="0"/>
                <w:iCs w:val="0"/>
                <w:color w:val="auto"/>
                <w:sz w:val="24"/>
                <w:szCs w:val="24"/>
                <w:highlight w:val="none"/>
                <w:u w:val="none"/>
              </w:rPr>
            </w:pPr>
          </w:p>
        </w:tc>
      </w:tr>
      <w:tr w14:paraId="7F38D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vMerge w:val="continue"/>
            <w:tcBorders>
              <w:left w:val="single" w:color="000000" w:sz="4" w:space="0"/>
              <w:right w:val="single" w:color="000000" w:sz="4" w:space="0"/>
            </w:tcBorders>
            <w:noWrap/>
            <w:vAlign w:val="center"/>
          </w:tcPr>
          <w:p w14:paraId="44ED9A33">
            <w:pPr>
              <w:jc w:val="center"/>
              <w:rPr>
                <w:rFonts w:hint="eastAsia" w:ascii="宋体" w:hAnsi="宋体" w:eastAsia="宋体" w:cs="宋体"/>
                <w:i w:val="0"/>
                <w:iCs w:val="0"/>
                <w:color w:val="auto"/>
                <w:sz w:val="24"/>
                <w:szCs w:val="24"/>
                <w:highlight w:val="none"/>
                <w:u w:val="none"/>
              </w:rPr>
            </w:pPr>
          </w:p>
        </w:tc>
        <w:tc>
          <w:tcPr>
            <w:tcW w:w="704" w:type="pct"/>
            <w:vMerge w:val="continue"/>
            <w:tcBorders>
              <w:left w:val="single" w:color="000000" w:sz="4" w:space="0"/>
              <w:right w:val="single" w:color="000000" w:sz="4" w:space="0"/>
            </w:tcBorders>
            <w:noWrap w:val="0"/>
            <w:vAlign w:val="center"/>
          </w:tcPr>
          <w:p w14:paraId="447172F2">
            <w:pPr>
              <w:jc w:val="center"/>
              <w:rPr>
                <w:rFonts w:hint="eastAsia" w:ascii="宋体" w:hAnsi="宋体" w:eastAsia="宋体" w:cs="宋体"/>
                <w:i w:val="0"/>
                <w:iCs w:val="0"/>
                <w:color w:val="auto"/>
                <w:sz w:val="24"/>
                <w:szCs w:val="24"/>
                <w:highlight w:val="none"/>
                <w:u w:val="none"/>
              </w:rPr>
            </w:pP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2FD89C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检查、维修、值班等记录档案缺失或经查实造假的，扣20分/次。</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6DC170D6">
            <w:pPr>
              <w:jc w:val="center"/>
              <w:rPr>
                <w:rFonts w:hint="eastAsia" w:ascii="宋体" w:hAnsi="宋体" w:eastAsia="宋体" w:cs="宋体"/>
                <w:i w:val="0"/>
                <w:iCs w:val="0"/>
                <w:color w:val="auto"/>
                <w:sz w:val="24"/>
                <w:szCs w:val="24"/>
                <w:highlight w:val="none"/>
                <w:u w:val="none"/>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14:paraId="575C533F">
            <w:pPr>
              <w:jc w:val="center"/>
              <w:rPr>
                <w:rFonts w:hint="eastAsia" w:ascii="宋体" w:hAnsi="宋体" w:eastAsia="宋体" w:cs="宋体"/>
                <w:i w:val="0"/>
                <w:iCs w:val="0"/>
                <w:color w:val="auto"/>
                <w:sz w:val="24"/>
                <w:szCs w:val="24"/>
                <w:highlight w:val="none"/>
                <w:u w:val="none"/>
              </w:rPr>
            </w:pPr>
          </w:p>
        </w:tc>
      </w:tr>
      <w:tr w14:paraId="0E9F9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continue"/>
            <w:tcBorders>
              <w:left w:val="single" w:color="000000" w:sz="4" w:space="0"/>
              <w:right w:val="single" w:color="000000" w:sz="4" w:space="0"/>
            </w:tcBorders>
            <w:noWrap/>
            <w:vAlign w:val="center"/>
          </w:tcPr>
          <w:p w14:paraId="6FA062DA">
            <w:pPr>
              <w:jc w:val="center"/>
              <w:rPr>
                <w:rFonts w:hint="eastAsia" w:ascii="宋体" w:hAnsi="宋体" w:eastAsia="宋体" w:cs="宋体"/>
                <w:i w:val="0"/>
                <w:iCs w:val="0"/>
                <w:color w:val="auto"/>
                <w:sz w:val="24"/>
                <w:szCs w:val="24"/>
                <w:highlight w:val="none"/>
                <w:u w:val="none"/>
              </w:rPr>
            </w:pPr>
          </w:p>
        </w:tc>
        <w:tc>
          <w:tcPr>
            <w:tcW w:w="704" w:type="pct"/>
            <w:vMerge w:val="continue"/>
            <w:tcBorders>
              <w:left w:val="single" w:color="000000" w:sz="4" w:space="0"/>
              <w:right w:val="single" w:color="000000" w:sz="4" w:space="0"/>
            </w:tcBorders>
            <w:noWrap w:val="0"/>
            <w:vAlign w:val="center"/>
          </w:tcPr>
          <w:p w14:paraId="38AAE208">
            <w:pPr>
              <w:jc w:val="center"/>
              <w:rPr>
                <w:rFonts w:hint="eastAsia" w:ascii="宋体" w:hAnsi="宋体" w:eastAsia="宋体" w:cs="宋体"/>
                <w:i w:val="0"/>
                <w:iCs w:val="0"/>
                <w:color w:val="auto"/>
                <w:sz w:val="24"/>
                <w:szCs w:val="24"/>
                <w:highlight w:val="none"/>
                <w:u w:val="none"/>
              </w:rPr>
            </w:pP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54DF4B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值班人员迟到、早退</w:t>
            </w:r>
            <w:r>
              <w:rPr>
                <w:rFonts w:hint="eastAsia" w:ascii="宋体" w:hAnsi="宋体" w:eastAsia="宋体" w:cs="宋体"/>
                <w:color w:val="000000"/>
                <w:kern w:val="0"/>
                <w:sz w:val="24"/>
                <w:szCs w:val="24"/>
                <w:highlight w:val="none"/>
              </w:rPr>
              <w:t>或岗位无人值守</w:t>
            </w:r>
            <w:r>
              <w:rPr>
                <w:rFonts w:hint="eastAsia" w:ascii="宋体" w:hAnsi="宋体" w:eastAsia="宋体" w:cs="宋体"/>
                <w:color w:val="000000"/>
                <w:kern w:val="0"/>
                <w:sz w:val="24"/>
                <w:szCs w:val="24"/>
                <w:highlight w:val="none"/>
                <w:lang w:val="en-US" w:eastAsia="zh-CN"/>
              </w:rPr>
              <w:t>的，一经发现扣5分/次</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66A61111">
            <w:pPr>
              <w:jc w:val="center"/>
              <w:rPr>
                <w:rFonts w:hint="eastAsia" w:ascii="宋体" w:hAnsi="宋体" w:eastAsia="宋体" w:cs="宋体"/>
                <w:i w:val="0"/>
                <w:iCs w:val="0"/>
                <w:color w:val="auto"/>
                <w:sz w:val="24"/>
                <w:szCs w:val="24"/>
                <w:highlight w:val="none"/>
                <w:u w:val="none"/>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14:paraId="1F783A93">
            <w:pPr>
              <w:jc w:val="center"/>
              <w:rPr>
                <w:rFonts w:hint="eastAsia" w:ascii="宋体" w:hAnsi="宋体" w:eastAsia="宋体" w:cs="宋体"/>
                <w:i w:val="0"/>
                <w:iCs w:val="0"/>
                <w:color w:val="auto"/>
                <w:sz w:val="24"/>
                <w:szCs w:val="24"/>
                <w:highlight w:val="none"/>
                <w:u w:val="none"/>
              </w:rPr>
            </w:pPr>
          </w:p>
        </w:tc>
      </w:tr>
      <w:tr w14:paraId="3AEE9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vMerge w:val="continue"/>
            <w:tcBorders>
              <w:left w:val="single" w:color="000000" w:sz="4" w:space="0"/>
              <w:right w:val="single" w:color="000000" w:sz="4" w:space="0"/>
            </w:tcBorders>
            <w:noWrap/>
            <w:vAlign w:val="center"/>
          </w:tcPr>
          <w:p w14:paraId="082426DD">
            <w:pPr>
              <w:jc w:val="center"/>
              <w:rPr>
                <w:rFonts w:hint="eastAsia" w:ascii="宋体" w:hAnsi="宋体" w:eastAsia="宋体" w:cs="宋体"/>
                <w:i w:val="0"/>
                <w:iCs w:val="0"/>
                <w:color w:val="auto"/>
                <w:sz w:val="24"/>
                <w:szCs w:val="24"/>
                <w:highlight w:val="none"/>
                <w:u w:val="none"/>
              </w:rPr>
            </w:pPr>
          </w:p>
        </w:tc>
        <w:tc>
          <w:tcPr>
            <w:tcW w:w="704" w:type="pct"/>
            <w:vMerge w:val="continue"/>
            <w:tcBorders>
              <w:left w:val="single" w:color="000000" w:sz="4" w:space="0"/>
              <w:right w:val="single" w:color="000000" w:sz="4" w:space="0"/>
            </w:tcBorders>
            <w:noWrap w:val="0"/>
            <w:vAlign w:val="center"/>
          </w:tcPr>
          <w:p w14:paraId="6A410BE8">
            <w:pPr>
              <w:jc w:val="center"/>
              <w:rPr>
                <w:rFonts w:hint="eastAsia" w:ascii="宋体" w:hAnsi="宋体" w:eastAsia="宋体" w:cs="宋体"/>
                <w:i w:val="0"/>
                <w:iCs w:val="0"/>
                <w:color w:val="auto"/>
                <w:sz w:val="24"/>
                <w:szCs w:val="24"/>
                <w:highlight w:val="none"/>
                <w:u w:val="none"/>
              </w:rPr>
            </w:pP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1C9593F1">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现场作业因操作不当或使用不合格工具导致设备问题的，扣10分/次。</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39F73BA7">
            <w:pPr>
              <w:jc w:val="center"/>
              <w:rPr>
                <w:rFonts w:hint="eastAsia" w:ascii="宋体" w:hAnsi="宋体" w:eastAsia="宋体" w:cs="宋体"/>
                <w:i w:val="0"/>
                <w:iCs w:val="0"/>
                <w:color w:val="auto"/>
                <w:sz w:val="24"/>
                <w:szCs w:val="24"/>
                <w:highlight w:val="none"/>
                <w:u w:val="none"/>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14:paraId="2351A0B2">
            <w:pPr>
              <w:jc w:val="center"/>
              <w:rPr>
                <w:rFonts w:hint="eastAsia" w:ascii="宋体" w:hAnsi="宋体" w:eastAsia="宋体" w:cs="宋体"/>
                <w:i w:val="0"/>
                <w:iCs w:val="0"/>
                <w:color w:val="auto"/>
                <w:sz w:val="24"/>
                <w:szCs w:val="24"/>
                <w:highlight w:val="none"/>
                <w:u w:val="none"/>
              </w:rPr>
            </w:pPr>
          </w:p>
        </w:tc>
      </w:tr>
      <w:tr w14:paraId="26C9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continue"/>
            <w:tcBorders>
              <w:left w:val="single" w:color="000000" w:sz="4" w:space="0"/>
              <w:right w:val="single" w:color="000000" w:sz="4" w:space="0"/>
            </w:tcBorders>
            <w:noWrap/>
            <w:vAlign w:val="center"/>
          </w:tcPr>
          <w:p w14:paraId="0E6F5A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704" w:type="pct"/>
            <w:vMerge w:val="continue"/>
            <w:tcBorders>
              <w:left w:val="single" w:color="000000" w:sz="4" w:space="0"/>
              <w:right w:val="single" w:color="000000" w:sz="4" w:space="0"/>
            </w:tcBorders>
            <w:noWrap w:val="0"/>
            <w:vAlign w:val="center"/>
          </w:tcPr>
          <w:p w14:paraId="14702D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093E1C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如无特殊情况，服务人员接到采购人故障报修后，必须在10分钟内到达现场处理，如超出规定时间，扣10分/次。</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4B715E7A">
            <w:pPr>
              <w:jc w:val="center"/>
              <w:rPr>
                <w:rFonts w:hint="eastAsia" w:ascii="宋体" w:hAnsi="宋体" w:eastAsia="宋体" w:cs="宋体"/>
                <w:i w:val="0"/>
                <w:iCs w:val="0"/>
                <w:color w:val="auto"/>
                <w:sz w:val="24"/>
                <w:szCs w:val="24"/>
                <w:highlight w:val="none"/>
                <w:u w:val="none"/>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14:paraId="0C642243">
            <w:pPr>
              <w:jc w:val="center"/>
              <w:rPr>
                <w:rFonts w:hint="eastAsia" w:ascii="宋体" w:hAnsi="宋体" w:eastAsia="宋体" w:cs="宋体"/>
                <w:i w:val="0"/>
                <w:iCs w:val="0"/>
                <w:color w:val="auto"/>
                <w:sz w:val="24"/>
                <w:szCs w:val="24"/>
                <w:highlight w:val="none"/>
                <w:u w:val="none"/>
              </w:rPr>
            </w:pPr>
          </w:p>
        </w:tc>
      </w:tr>
      <w:tr w14:paraId="72019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297" w:type="pct"/>
            <w:vMerge w:val="continue"/>
            <w:tcBorders>
              <w:left w:val="single" w:color="000000" w:sz="4" w:space="0"/>
              <w:right w:val="single" w:color="000000" w:sz="4" w:space="0"/>
            </w:tcBorders>
            <w:noWrap/>
            <w:vAlign w:val="center"/>
          </w:tcPr>
          <w:p w14:paraId="381803C5">
            <w:pPr>
              <w:jc w:val="center"/>
              <w:rPr>
                <w:rFonts w:hint="eastAsia" w:ascii="宋体" w:hAnsi="宋体" w:eastAsia="宋体" w:cs="宋体"/>
                <w:i w:val="0"/>
                <w:iCs w:val="0"/>
                <w:color w:val="auto"/>
                <w:sz w:val="24"/>
                <w:szCs w:val="24"/>
                <w:highlight w:val="none"/>
                <w:u w:val="none"/>
              </w:rPr>
            </w:pPr>
          </w:p>
        </w:tc>
        <w:tc>
          <w:tcPr>
            <w:tcW w:w="704" w:type="pct"/>
            <w:vMerge w:val="continue"/>
            <w:tcBorders>
              <w:left w:val="single" w:color="000000" w:sz="4" w:space="0"/>
              <w:right w:val="single" w:color="000000" w:sz="4" w:space="0"/>
            </w:tcBorders>
            <w:noWrap w:val="0"/>
            <w:vAlign w:val="center"/>
          </w:tcPr>
          <w:p w14:paraId="2C454A44">
            <w:pPr>
              <w:jc w:val="center"/>
              <w:rPr>
                <w:rFonts w:hint="eastAsia" w:ascii="宋体" w:hAnsi="宋体" w:eastAsia="宋体" w:cs="宋体"/>
                <w:i w:val="0"/>
                <w:iCs w:val="0"/>
                <w:color w:val="auto"/>
                <w:sz w:val="24"/>
                <w:szCs w:val="24"/>
                <w:highlight w:val="none"/>
                <w:u w:val="none"/>
              </w:rPr>
            </w:pP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56D646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如无特殊情况，对于一般故障(不需拆卸或更换设备和配件），当场组织修复（一般故障处理时间不超过</w:t>
            </w:r>
            <w:r>
              <w:rPr>
                <w:rFonts w:hint="eastAsia" w:ascii="宋体" w:hAnsi="宋体" w:cs="宋体"/>
                <w:i w:val="0"/>
                <w:iCs w:val="0"/>
                <w:color w:val="auto"/>
                <w:kern w:val="0"/>
                <w:sz w:val="24"/>
                <w:szCs w:val="24"/>
                <w:highlight w:val="none"/>
                <w:u w:val="none"/>
                <w:lang w:val="en-US" w:eastAsia="zh-CN" w:bidi="ar"/>
              </w:rPr>
              <w:t>30分钟</w:t>
            </w:r>
            <w:r>
              <w:rPr>
                <w:rFonts w:hint="eastAsia" w:ascii="宋体" w:hAnsi="宋体" w:eastAsia="宋体" w:cs="宋体"/>
                <w:i w:val="0"/>
                <w:iCs w:val="0"/>
                <w:color w:val="auto"/>
                <w:kern w:val="0"/>
                <w:sz w:val="24"/>
                <w:szCs w:val="24"/>
                <w:highlight w:val="none"/>
                <w:u w:val="none"/>
                <w:lang w:val="en-US" w:eastAsia="zh-CN" w:bidi="ar"/>
              </w:rPr>
              <w:t>）。如超出规定时间，扣10分/次。</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3804B25A">
            <w:pPr>
              <w:jc w:val="center"/>
              <w:rPr>
                <w:rFonts w:hint="eastAsia" w:ascii="宋体" w:hAnsi="宋体" w:eastAsia="宋体" w:cs="宋体"/>
                <w:i w:val="0"/>
                <w:iCs w:val="0"/>
                <w:color w:val="auto"/>
                <w:sz w:val="24"/>
                <w:szCs w:val="24"/>
                <w:highlight w:val="none"/>
                <w:u w:val="none"/>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14:paraId="1AA4C3BC">
            <w:pPr>
              <w:jc w:val="center"/>
              <w:rPr>
                <w:rFonts w:hint="eastAsia" w:ascii="宋体" w:hAnsi="宋体" w:eastAsia="宋体" w:cs="宋体"/>
                <w:i w:val="0"/>
                <w:iCs w:val="0"/>
                <w:color w:val="auto"/>
                <w:sz w:val="24"/>
                <w:szCs w:val="24"/>
                <w:highlight w:val="none"/>
                <w:u w:val="none"/>
              </w:rPr>
            </w:pPr>
          </w:p>
        </w:tc>
      </w:tr>
      <w:tr w14:paraId="7321E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continue"/>
            <w:tcBorders>
              <w:left w:val="single" w:color="000000" w:sz="4" w:space="0"/>
              <w:bottom w:val="single" w:color="000000" w:sz="4" w:space="0"/>
              <w:right w:val="single" w:color="000000" w:sz="4" w:space="0"/>
            </w:tcBorders>
            <w:noWrap/>
            <w:vAlign w:val="center"/>
          </w:tcPr>
          <w:p w14:paraId="62AE20C1">
            <w:pPr>
              <w:jc w:val="center"/>
              <w:rPr>
                <w:rFonts w:hint="eastAsia" w:ascii="宋体" w:hAnsi="宋体" w:eastAsia="宋体" w:cs="宋体"/>
                <w:i w:val="0"/>
                <w:iCs w:val="0"/>
                <w:color w:val="auto"/>
                <w:sz w:val="24"/>
                <w:szCs w:val="24"/>
                <w:highlight w:val="none"/>
                <w:u w:val="none"/>
              </w:rPr>
            </w:pPr>
          </w:p>
        </w:tc>
        <w:tc>
          <w:tcPr>
            <w:tcW w:w="704" w:type="pct"/>
            <w:vMerge w:val="continue"/>
            <w:tcBorders>
              <w:left w:val="single" w:color="000000" w:sz="4" w:space="0"/>
              <w:bottom w:val="single" w:color="000000" w:sz="4" w:space="0"/>
              <w:right w:val="single" w:color="000000" w:sz="4" w:space="0"/>
            </w:tcBorders>
            <w:noWrap w:val="0"/>
            <w:vAlign w:val="center"/>
          </w:tcPr>
          <w:p w14:paraId="3E4E9488">
            <w:pPr>
              <w:jc w:val="center"/>
              <w:rPr>
                <w:rFonts w:hint="eastAsia" w:ascii="宋体" w:hAnsi="宋体" w:eastAsia="宋体" w:cs="宋体"/>
                <w:i w:val="0"/>
                <w:iCs w:val="0"/>
                <w:color w:val="auto"/>
                <w:sz w:val="24"/>
                <w:szCs w:val="24"/>
                <w:highlight w:val="none"/>
                <w:u w:val="none"/>
              </w:rPr>
            </w:pP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61FE62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lang w:val="en-US" w:eastAsia="zh-CN"/>
              </w:rPr>
              <w:t>如无特殊情况，</w:t>
            </w:r>
            <w:r>
              <w:rPr>
                <w:rFonts w:hint="eastAsia" w:ascii="宋体" w:hAnsi="宋体" w:eastAsia="宋体" w:cs="宋体"/>
                <w:i w:val="0"/>
                <w:iCs w:val="0"/>
                <w:color w:val="auto"/>
                <w:sz w:val="24"/>
                <w:szCs w:val="24"/>
                <w:highlight w:val="none"/>
                <w:u w:val="none"/>
              </w:rPr>
              <w:t>对于复杂或较大故障（设备重要配件损坏或需更换设备），及时采取停电、隔离等安全措施，防止故障扩大，并迅速报告医院后勤管理部门及相关领导，安排专业维修人员协助处理（复杂或较大故障处理时间3-5个工作日）。如出现复杂或较大故障，供应商必须提供应急措施，且2小时内向采购人提供维修方案，确保以最快速度进行处理确保设备正常启动。</w:t>
            </w:r>
            <w:r>
              <w:rPr>
                <w:rFonts w:hint="eastAsia" w:ascii="宋体" w:hAnsi="宋体" w:eastAsia="宋体" w:cs="宋体"/>
                <w:i w:val="0"/>
                <w:iCs w:val="0"/>
                <w:color w:val="auto"/>
                <w:kern w:val="0"/>
                <w:sz w:val="24"/>
                <w:szCs w:val="24"/>
                <w:highlight w:val="none"/>
                <w:u w:val="none"/>
                <w:lang w:val="en-US" w:eastAsia="zh-CN" w:bidi="ar"/>
              </w:rPr>
              <w:t>如超出规定时间，扣10分/次。</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6C7C0972">
            <w:pPr>
              <w:jc w:val="center"/>
              <w:rPr>
                <w:rFonts w:hint="eastAsia" w:ascii="宋体" w:hAnsi="宋体" w:eastAsia="宋体" w:cs="宋体"/>
                <w:i w:val="0"/>
                <w:iCs w:val="0"/>
                <w:color w:val="auto"/>
                <w:sz w:val="24"/>
                <w:szCs w:val="24"/>
                <w:highlight w:val="none"/>
                <w:u w:val="none"/>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14:paraId="68545A8D">
            <w:pPr>
              <w:jc w:val="center"/>
              <w:rPr>
                <w:rFonts w:hint="eastAsia" w:ascii="宋体" w:hAnsi="宋体" w:eastAsia="宋体" w:cs="宋体"/>
                <w:i w:val="0"/>
                <w:iCs w:val="0"/>
                <w:color w:val="auto"/>
                <w:sz w:val="24"/>
                <w:szCs w:val="24"/>
                <w:highlight w:val="none"/>
                <w:u w:val="none"/>
              </w:rPr>
            </w:pPr>
          </w:p>
        </w:tc>
      </w:tr>
      <w:tr w14:paraId="75BE3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97" w:type="pct"/>
            <w:vMerge w:val="restart"/>
            <w:tcBorders>
              <w:top w:val="single" w:color="000000" w:sz="4" w:space="0"/>
              <w:left w:val="single" w:color="000000" w:sz="4" w:space="0"/>
              <w:bottom w:val="single" w:color="000000" w:sz="4" w:space="0"/>
              <w:right w:val="single" w:color="000000" w:sz="4" w:space="0"/>
            </w:tcBorders>
            <w:noWrap/>
            <w:vAlign w:val="center"/>
          </w:tcPr>
          <w:p w14:paraId="4E6578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2</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14:paraId="33714E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零配件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更换（10分）</w:t>
            </w: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1A2879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当设备设施出现故障，供应商认为确需更换配件，应向采购人提交相关分析报告或说明，并提供配件的型号、厂家、报价、维修工时等。如供应商私自更换配件，或供应商调换的配件存在明显缺陷，并因此造成采购人的损失时，扣10分/次。</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6E5E4928">
            <w:pPr>
              <w:jc w:val="center"/>
              <w:rPr>
                <w:rFonts w:hint="eastAsia" w:ascii="宋体" w:hAnsi="宋体" w:eastAsia="宋体" w:cs="宋体"/>
                <w:i w:val="0"/>
                <w:iCs w:val="0"/>
                <w:color w:val="auto"/>
                <w:sz w:val="24"/>
                <w:szCs w:val="24"/>
                <w:highlight w:val="none"/>
                <w:u w:val="none"/>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14:paraId="57870EC7">
            <w:pPr>
              <w:jc w:val="center"/>
              <w:rPr>
                <w:rFonts w:hint="eastAsia" w:ascii="宋体" w:hAnsi="宋体" w:eastAsia="宋体" w:cs="宋体"/>
                <w:i w:val="0"/>
                <w:iCs w:val="0"/>
                <w:color w:val="auto"/>
                <w:sz w:val="24"/>
                <w:szCs w:val="24"/>
                <w:highlight w:val="none"/>
                <w:u w:val="none"/>
              </w:rPr>
            </w:pPr>
          </w:p>
        </w:tc>
      </w:tr>
      <w:tr w14:paraId="3B693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continue"/>
            <w:tcBorders>
              <w:top w:val="single" w:color="000000" w:sz="4" w:space="0"/>
              <w:left w:val="single" w:color="000000" w:sz="4" w:space="0"/>
              <w:bottom w:val="single" w:color="000000" w:sz="4" w:space="0"/>
              <w:right w:val="single" w:color="000000" w:sz="4" w:space="0"/>
            </w:tcBorders>
            <w:noWrap/>
            <w:vAlign w:val="center"/>
          </w:tcPr>
          <w:p w14:paraId="25545C97">
            <w:pPr>
              <w:jc w:val="center"/>
              <w:rPr>
                <w:rFonts w:hint="eastAsia" w:ascii="宋体" w:hAnsi="宋体" w:eastAsia="宋体" w:cs="宋体"/>
                <w:i w:val="0"/>
                <w:iCs w:val="0"/>
                <w:color w:val="auto"/>
                <w:sz w:val="24"/>
                <w:szCs w:val="24"/>
                <w:highlight w:val="none"/>
                <w:u w:val="none"/>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53D3DF">
            <w:pPr>
              <w:jc w:val="center"/>
              <w:rPr>
                <w:rFonts w:hint="eastAsia" w:ascii="宋体" w:hAnsi="宋体" w:eastAsia="宋体" w:cs="宋体"/>
                <w:i w:val="0"/>
                <w:iCs w:val="0"/>
                <w:color w:val="auto"/>
                <w:sz w:val="24"/>
                <w:szCs w:val="24"/>
                <w:highlight w:val="none"/>
                <w:u w:val="none"/>
              </w:rPr>
            </w:pP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3A69C4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所供配件或耗材与约定的规格参数不符，或无正当理由，在未通知甲方的情况下私自变更品牌型号规格供货，扣10分/次。</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706666CB">
            <w:pPr>
              <w:jc w:val="center"/>
              <w:rPr>
                <w:rFonts w:hint="eastAsia" w:ascii="宋体" w:hAnsi="宋体" w:eastAsia="宋体" w:cs="宋体"/>
                <w:i w:val="0"/>
                <w:iCs w:val="0"/>
                <w:color w:val="auto"/>
                <w:sz w:val="24"/>
                <w:szCs w:val="24"/>
                <w:highlight w:val="none"/>
                <w:u w:val="none"/>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14:paraId="667277AB">
            <w:pPr>
              <w:jc w:val="center"/>
              <w:rPr>
                <w:rFonts w:hint="eastAsia" w:ascii="宋体" w:hAnsi="宋体" w:eastAsia="宋体" w:cs="宋体"/>
                <w:i w:val="0"/>
                <w:iCs w:val="0"/>
                <w:color w:val="auto"/>
                <w:sz w:val="24"/>
                <w:szCs w:val="24"/>
                <w:highlight w:val="none"/>
                <w:u w:val="none"/>
              </w:rPr>
            </w:pPr>
          </w:p>
        </w:tc>
      </w:tr>
      <w:tr w14:paraId="2D59F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continue"/>
            <w:tcBorders>
              <w:top w:val="single" w:color="000000" w:sz="4" w:space="0"/>
              <w:left w:val="single" w:color="000000" w:sz="4" w:space="0"/>
              <w:bottom w:val="single" w:color="000000" w:sz="4" w:space="0"/>
              <w:right w:val="single" w:color="000000" w:sz="4" w:space="0"/>
            </w:tcBorders>
            <w:noWrap/>
            <w:vAlign w:val="center"/>
          </w:tcPr>
          <w:p w14:paraId="34E82A5C">
            <w:pPr>
              <w:jc w:val="center"/>
              <w:rPr>
                <w:rFonts w:hint="eastAsia" w:ascii="宋体" w:hAnsi="宋体" w:eastAsia="宋体" w:cs="宋体"/>
                <w:i w:val="0"/>
                <w:iCs w:val="0"/>
                <w:color w:val="auto"/>
                <w:sz w:val="24"/>
                <w:szCs w:val="24"/>
                <w:highlight w:val="none"/>
                <w:u w:val="none"/>
              </w:rPr>
            </w:pPr>
          </w:p>
        </w:tc>
        <w:tc>
          <w:tcPr>
            <w:tcW w:w="70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F295FF">
            <w:pPr>
              <w:jc w:val="center"/>
              <w:rPr>
                <w:rFonts w:hint="eastAsia" w:ascii="宋体" w:hAnsi="宋体" w:eastAsia="宋体" w:cs="宋体"/>
                <w:i w:val="0"/>
                <w:iCs w:val="0"/>
                <w:color w:val="auto"/>
                <w:sz w:val="24"/>
                <w:szCs w:val="24"/>
                <w:highlight w:val="none"/>
                <w:u w:val="none"/>
              </w:rPr>
            </w:pP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0D689F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如供应商所提供的配件在质保期内再次损坏,由乙方负责免费更换，如未按要求执行，扣10分/次。</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3E652652">
            <w:pPr>
              <w:jc w:val="center"/>
              <w:rPr>
                <w:rFonts w:hint="eastAsia" w:ascii="宋体" w:hAnsi="宋体" w:eastAsia="宋体" w:cs="宋体"/>
                <w:i w:val="0"/>
                <w:iCs w:val="0"/>
                <w:color w:val="auto"/>
                <w:sz w:val="24"/>
                <w:szCs w:val="24"/>
                <w:highlight w:val="none"/>
                <w:u w:val="none"/>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14:paraId="6417D056">
            <w:pPr>
              <w:jc w:val="center"/>
              <w:rPr>
                <w:rFonts w:hint="eastAsia" w:ascii="宋体" w:hAnsi="宋体" w:eastAsia="宋体" w:cs="宋体"/>
                <w:i w:val="0"/>
                <w:iCs w:val="0"/>
                <w:color w:val="auto"/>
                <w:sz w:val="24"/>
                <w:szCs w:val="24"/>
                <w:highlight w:val="none"/>
                <w:u w:val="none"/>
              </w:rPr>
            </w:pPr>
          </w:p>
        </w:tc>
      </w:tr>
      <w:tr w14:paraId="086C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restart"/>
            <w:tcBorders>
              <w:top w:val="single" w:color="000000" w:sz="4" w:space="0"/>
              <w:left w:val="single" w:color="000000" w:sz="4" w:space="0"/>
              <w:bottom w:val="single" w:color="000000" w:sz="4" w:space="0"/>
              <w:right w:val="single" w:color="000000" w:sz="4" w:space="0"/>
            </w:tcBorders>
            <w:noWrap/>
            <w:vAlign w:val="center"/>
          </w:tcPr>
          <w:p w14:paraId="0A87F1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3</w:t>
            </w:r>
          </w:p>
        </w:tc>
        <w:tc>
          <w:tcPr>
            <w:tcW w:w="704" w:type="pct"/>
            <w:vMerge w:val="restart"/>
            <w:tcBorders>
              <w:top w:val="single" w:color="000000" w:sz="4" w:space="0"/>
              <w:left w:val="single" w:color="000000" w:sz="4" w:space="0"/>
              <w:bottom w:val="single" w:color="000000" w:sz="4" w:space="0"/>
              <w:right w:val="single" w:color="000000" w:sz="4" w:space="0"/>
            </w:tcBorders>
            <w:noWrap w:val="0"/>
            <w:vAlign w:val="center"/>
          </w:tcPr>
          <w:p w14:paraId="12CFCA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服务态度及满意度（</w:t>
            </w:r>
            <w:r>
              <w:rPr>
                <w:rFonts w:hint="eastAsia" w:ascii="宋体" w:hAnsi="宋体" w:cs="宋体"/>
                <w:i w:val="0"/>
                <w:iCs w:val="0"/>
                <w:color w:val="auto"/>
                <w:kern w:val="0"/>
                <w:sz w:val="24"/>
                <w:szCs w:val="24"/>
                <w:highlight w:val="none"/>
                <w:u w:val="none"/>
                <w:lang w:val="en-US" w:eastAsia="zh-CN" w:bidi="ar"/>
              </w:rPr>
              <w:t>20</w:t>
            </w:r>
            <w:r>
              <w:rPr>
                <w:rFonts w:hint="eastAsia" w:ascii="宋体" w:hAnsi="宋体" w:eastAsia="宋体" w:cs="宋体"/>
                <w:i w:val="0"/>
                <w:iCs w:val="0"/>
                <w:color w:val="auto"/>
                <w:kern w:val="0"/>
                <w:sz w:val="24"/>
                <w:szCs w:val="24"/>
                <w:highlight w:val="none"/>
                <w:u w:val="none"/>
                <w:lang w:val="en-US" w:eastAsia="zh-CN" w:bidi="ar"/>
              </w:rPr>
              <w:t>分）</w:t>
            </w:r>
          </w:p>
        </w:tc>
        <w:tc>
          <w:tcPr>
            <w:tcW w:w="2898" w:type="pct"/>
            <w:tcBorders>
              <w:top w:val="single" w:color="000000" w:sz="4" w:space="0"/>
              <w:left w:val="single" w:color="000000" w:sz="4" w:space="0"/>
              <w:bottom w:val="single" w:color="000000" w:sz="4" w:space="0"/>
              <w:right w:val="single" w:color="000000" w:sz="4" w:space="0"/>
            </w:tcBorders>
            <w:noWrap w:val="0"/>
            <w:vAlign w:val="center"/>
          </w:tcPr>
          <w:p w14:paraId="662991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因供应商管理不力，服务人员态度恶劣、严重违反安全条例或采购人院内纪律造成不良影响的，扣10分/次。</w:t>
            </w:r>
          </w:p>
        </w:tc>
        <w:tc>
          <w:tcPr>
            <w:tcW w:w="557" w:type="pct"/>
            <w:tcBorders>
              <w:top w:val="single" w:color="000000" w:sz="4" w:space="0"/>
              <w:left w:val="single" w:color="000000" w:sz="4" w:space="0"/>
              <w:bottom w:val="single" w:color="000000" w:sz="4" w:space="0"/>
              <w:right w:val="single" w:color="000000" w:sz="4" w:space="0"/>
            </w:tcBorders>
            <w:noWrap w:val="0"/>
            <w:vAlign w:val="center"/>
          </w:tcPr>
          <w:p w14:paraId="6EA4BD80">
            <w:pPr>
              <w:jc w:val="center"/>
              <w:rPr>
                <w:rFonts w:hint="eastAsia" w:ascii="宋体" w:hAnsi="宋体" w:eastAsia="宋体" w:cs="宋体"/>
                <w:i w:val="0"/>
                <w:iCs w:val="0"/>
                <w:color w:val="auto"/>
                <w:sz w:val="24"/>
                <w:szCs w:val="24"/>
                <w:highlight w:val="none"/>
                <w:u w:val="none"/>
              </w:rPr>
            </w:pPr>
          </w:p>
        </w:tc>
        <w:tc>
          <w:tcPr>
            <w:tcW w:w="541" w:type="pct"/>
            <w:tcBorders>
              <w:top w:val="single" w:color="000000" w:sz="4" w:space="0"/>
              <w:left w:val="single" w:color="000000" w:sz="4" w:space="0"/>
              <w:bottom w:val="single" w:color="000000" w:sz="4" w:space="0"/>
              <w:right w:val="single" w:color="000000" w:sz="4" w:space="0"/>
            </w:tcBorders>
            <w:noWrap w:val="0"/>
            <w:vAlign w:val="center"/>
          </w:tcPr>
          <w:p w14:paraId="00E96C7A">
            <w:pPr>
              <w:jc w:val="center"/>
              <w:rPr>
                <w:rFonts w:hint="eastAsia" w:ascii="宋体" w:hAnsi="宋体" w:eastAsia="宋体" w:cs="宋体"/>
                <w:i w:val="0"/>
                <w:iCs w:val="0"/>
                <w:color w:val="auto"/>
                <w:sz w:val="24"/>
                <w:szCs w:val="24"/>
                <w:highlight w:val="none"/>
                <w:u w:val="none"/>
              </w:rPr>
            </w:pPr>
          </w:p>
        </w:tc>
      </w:tr>
      <w:tr w14:paraId="7DD87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vMerge w:val="continue"/>
            <w:tcBorders>
              <w:top w:val="single" w:color="000000" w:sz="4" w:space="0"/>
              <w:left w:val="single" w:color="000000" w:sz="4" w:space="0"/>
              <w:bottom w:val="single" w:color="auto" w:sz="4" w:space="0"/>
              <w:right w:val="single" w:color="000000" w:sz="4" w:space="0"/>
            </w:tcBorders>
            <w:noWrap/>
            <w:vAlign w:val="center"/>
          </w:tcPr>
          <w:p w14:paraId="5405DCD1">
            <w:pPr>
              <w:jc w:val="center"/>
              <w:rPr>
                <w:rFonts w:hint="eastAsia" w:ascii="宋体" w:hAnsi="宋体" w:eastAsia="宋体" w:cs="宋体"/>
                <w:i w:val="0"/>
                <w:iCs w:val="0"/>
                <w:color w:val="auto"/>
                <w:sz w:val="24"/>
                <w:szCs w:val="24"/>
                <w:highlight w:val="none"/>
                <w:u w:val="none"/>
              </w:rPr>
            </w:pPr>
          </w:p>
        </w:tc>
        <w:tc>
          <w:tcPr>
            <w:tcW w:w="704" w:type="pct"/>
            <w:vMerge w:val="continue"/>
            <w:tcBorders>
              <w:top w:val="single" w:color="000000" w:sz="4" w:space="0"/>
              <w:left w:val="single" w:color="000000" w:sz="4" w:space="0"/>
              <w:bottom w:val="single" w:color="auto" w:sz="4" w:space="0"/>
              <w:right w:val="single" w:color="000000" w:sz="4" w:space="0"/>
            </w:tcBorders>
            <w:noWrap w:val="0"/>
            <w:vAlign w:val="center"/>
          </w:tcPr>
          <w:p w14:paraId="0AA46A20">
            <w:pPr>
              <w:jc w:val="center"/>
              <w:rPr>
                <w:rFonts w:hint="eastAsia" w:ascii="宋体" w:hAnsi="宋体" w:eastAsia="宋体" w:cs="宋体"/>
                <w:i w:val="0"/>
                <w:iCs w:val="0"/>
                <w:color w:val="auto"/>
                <w:sz w:val="24"/>
                <w:szCs w:val="24"/>
                <w:highlight w:val="none"/>
                <w:u w:val="none"/>
              </w:rPr>
            </w:pPr>
          </w:p>
        </w:tc>
        <w:tc>
          <w:tcPr>
            <w:tcW w:w="2898" w:type="pct"/>
            <w:tcBorders>
              <w:top w:val="single" w:color="000000" w:sz="4" w:space="0"/>
              <w:left w:val="single" w:color="000000" w:sz="4" w:space="0"/>
              <w:bottom w:val="single" w:color="auto" w:sz="4" w:space="0"/>
              <w:right w:val="single" w:color="000000" w:sz="4" w:space="0"/>
            </w:tcBorders>
            <w:noWrap w:val="0"/>
            <w:vAlign w:val="center"/>
          </w:tcPr>
          <w:p w14:paraId="248404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医院满意度调查意见反馈问题或其他投诉，经查属实，扣5分/次。</w:t>
            </w:r>
          </w:p>
        </w:tc>
        <w:tc>
          <w:tcPr>
            <w:tcW w:w="557" w:type="pct"/>
            <w:tcBorders>
              <w:top w:val="single" w:color="000000" w:sz="4" w:space="0"/>
              <w:left w:val="single" w:color="000000" w:sz="4" w:space="0"/>
              <w:bottom w:val="single" w:color="auto" w:sz="4" w:space="0"/>
              <w:right w:val="single" w:color="000000" w:sz="4" w:space="0"/>
            </w:tcBorders>
            <w:noWrap w:val="0"/>
            <w:vAlign w:val="center"/>
          </w:tcPr>
          <w:p w14:paraId="741A197A">
            <w:pPr>
              <w:jc w:val="center"/>
              <w:rPr>
                <w:rFonts w:hint="eastAsia" w:ascii="宋体" w:hAnsi="宋体" w:eastAsia="宋体" w:cs="宋体"/>
                <w:i w:val="0"/>
                <w:iCs w:val="0"/>
                <w:color w:val="auto"/>
                <w:sz w:val="24"/>
                <w:szCs w:val="24"/>
                <w:highlight w:val="none"/>
                <w:u w:val="none"/>
              </w:rPr>
            </w:pPr>
          </w:p>
        </w:tc>
        <w:tc>
          <w:tcPr>
            <w:tcW w:w="541" w:type="pct"/>
            <w:tcBorders>
              <w:top w:val="single" w:color="000000" w:sz="4" w:space="0"/>
              <w:left w:val="single" w:color="000000" w:sz="4" w:space="0"/>
              <w:bottom w:val="single" w:color="auto" w:sz="4" w:space="0"/>
              <w:right w:val="single" w:color="000000" w:sz="4" w:space="0"/>
            </w:tcBorders>
            <w:noWrap w:val="0"/>
            <w:vAlign w:val="center"/>
          </w:tcPr>
          <w:p w14:paraId="125DDAEC">
            <w:pPr>
              <w:jc w:val="center"/>
              <w:rPr>
                <w:rFonts w:hint="eastAsia" w:ascii="宋体" w:hAnsi="宋体" w:eastAsia="宋体" w:cs="宋体"/>
                <w:i w:val="0"/>
                <w:iCs w:val="0"/>
                <w:color w:val="auto"/>
                <w:sz w:val="24"/>
                <w:szCs w:val="24"/>
                <w:highlight w:val="none"/>
                <w:u w:val="none"/>
              </w:rPr>
            </w:pPr>
          </w:p>
        </w:tc>
      </w:tr>
      <w:tr w14:paraId="6ED0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restart"/>
            <w:tcBorders>
              <w:top w:val="single" w:color="auto" w:sz="4" w:space="0"/>
              <w:left w:val="single" w:color="auto" w:sz="4" w:space="0"/>
              <w:bottom w:val="single" w:color="auto" w:sz="4" w:space="0"/>
              <w:right w:val="single" w:color="auto" w:sz="4" w:space="0"/>
            </w:tcBorders>
            <w:noWrap/>
            <w:vAlign w:val="center"/>
          </w:tcPr>
          <w:p w14:paraId="0701D4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4</w:t>
            </w:r>
          </w:p>
        </w:tc>
        <w:tc>
          <w:tcPr>
            <w:tcW w:w="704" w:type="pct"/>
            <w:vMerge w:val="restart"/>
            <w:tcBorders>
              <w:top w:val="single" w:color="auto" w:sz="4" w:space="0"/>
              <w:left w:val="single" w:color="auto" w:sz="4" w:space="0"/>
              <w:bottom w:val="single" w:color="auto" w:sz="4" w:space="0"/>
              <w:right w:val="single" w:color="auto" w:sz="4" w:space="0"/>
            </w:tcBorders>
            <w:noWrap/>
            <w:vAlign w:val="center"/>
          </w:tcPr>
          <w:p w14:paraId="706D9A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0分）</w:t>
            </w:r>
          </w:p>
        </w:tc>
        <w:tc>
          <w:tcPr>
            <w:tcW w:w="2898" w:type="pct"/>
            <w:tcBorders>
              <w:top w:val="single" w:color="auto" w:sz="4" w:space="0"/>
              <w:left w:val="single" w:color="auto" w:sz="4" w:space="0"/>
              <w:bottom w:val="single" w:color="auto" w:sz="4" w:space="0"/>
              <w:right w:val="single" w:color="auto" w:sz="4" w:space="0"/>
            </w:tcBorders>
            <w:noWrap w:val="0"/>
            <w:vAlign w:val="center"/>
          </w:tcPr>
          <w:p w14:paraId="65C6FE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因供应商自身原因对采购人造成不良影响的（如导致负面舆情），扣10分/次。</w:t>
            </w:r>
          </w:p>
        </w:tc>
        <w:tc>
          <w:tcPr>
            <w:tcW w:w="557" w:type="pct"/>
            <w:tcBorders>
              <w:top w:val="single" w:color="auto" w:sz="4" w:space="0"/>
              <w:left w:val="single" w:color="auto" w:sz="4" w:space="0"/>
              <w:bottom w:val="single" w:color="auto" w:sz="4" w:space="0"/>
              <w:right w:val="single" w:color="auto" w:sz="4" w:space="0"/>
            </w:tcBorders>
            <w:noWrap w:val="0"/>
            <w:vAlign w:val="center"/>
          </w:tcPr>
          <w:p w14:paraId="7D2C69E3">
            <w:pPr>
              <w:jc w:val="center"/>
              <w:rPr>
                <w:rFonts w:hint="eastAsia" w:ascii="宋体" w:hAnsi="宋体" w:eastAsia="宋体" w:cs="宋体"/>
                <w:i w:val="0"/>
                <w:iCs w:val="0"/>
                <w:color w:val="auto"/>
                <w:sz w:val="24"/>
                <w:szCs w:val="24"/>
                <w:highlight w:val="none"/>
                <w:u w:val="none"/>
              </w:rPr>
            </w:pPr>
          </w:p>
        </w:tc>
        <w:tc>
          <w:tcPr>
            <w:tcW w:w="541" w:type="pct"/>
            <w:tcBorders>
              <w:top w:val="single" w:color="auto" w:sz="4" w:space="0"/>
              <w:left w:val="single" w:color="auto" w:sz="4" w:space="0"/>
              <w:bottom w:val="single" w:color="auto" w:sz="4" w:space="0"/>
              <w:right w:val="single" w:color="auto" w:sz="4" w:space="0"/>
            </w:tcBorders>
            <w:noWrap w:val="0"/>
            <w:vAlign w:val="center"/>
          </w:tcPr>
          <w:p w14:paraId="6BFB2AD6">
            <w:pPr>
              <w:jc w:val="center"/>
              <w:rPr>
                <w:rFonts w:hint="eastAsia" w:ascii="宋体" w:hAnsi="宋体" w:eastAsia="宋体" w:cs="宋体"/>
                <w:i w:val="0"/>
                <w:iCs w:val="0"/>
                <w:color w:val="auto"/>
                <w:sz w:val="24"/>
                <w:szCs w:val="24"/>
                <w:highlight w:val="none"/>
                <w:u w:val="none"/>
              </w:rPr>
            </w:pPr>
          </w:p>
        </w:tc>
      </w:tr>
      <w:tr w14:paraId="1B812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continue"/>
            <w:tcBorders>
              <w:top w:val="single" w:color="auto" w:sz="4" w:space="0"/>
              <w:left w:val="single" w:color="auto" w:sz="4" w:space="0"/>
              <w:bottom w:val="single" w:color="auto" w:sz="4" w:space="0"/>
              <w:right w:val="single" w:color="auto" w:sz="4" w:space="0"/>
            </w:tcBorders>
            <w:noWrap/>
            <w:vAlign w:val="center"/>
          </w:tcPr>
          <w:p w14:paraId="24F7D910">
            <w:pPr>
              <w:jc w:val="center"/>
              <w:rPr>
                <w:rFonts w:hint="eastAsia" w:ascii="宋体" w:hAnsi="宋体" w:eastAsia="宋体" w:cs="宋体"/>
                <w:i w:val="0"/>
                <w:iCs w:val="0"/>
                <w:color w:val="auto"/>
                <w:sz w:val="24"/>
                <w:szCs w:val="24"/>
                <w:highlight w:val="none"/>
                <w:u w:val="none"/>
              </w:rPr>
            </w:pPr>
          </w:p>
        </w:tc>
        <w:tc>
          <w:tcPr>
            <w:tcW w:w="704" w:type="pct"/>
            <w:vMerge w:val="continue"/>
            <w:tcBorders>
              <w:top w:val="single" w:color="auto" w:sz="4" w:space="0"/>
              <w:left w:val="single" w:color="auto" w:sz="4" w:space="0"/>
              <w:bottom w:val="single" w:color="auto" w:sz="4" w:space="0"/>
              <w:right w:val="single" w:color="auto" w:sz="4" w:space="0"/>
            </w:tcBorders>
            <w:noWrap/>
            <w:vAlign w:val="center"/>
          </w:tcPr>
          <w:p w14:paraId="62FAEF25">
            <w:pPr>
              <w:jc w:val="center"/>
              <w:rPr>
                <w:rFonts w:hint="eastAsia" w:ascii="宋体" w:hAnsi="宋体" w:eastAsia="宋体" w:cs="宋体"/>
                <w:i w:val="0"/>
                <w:iCs w:val="0"/>
                <w:color w:val="auto"/>
                <w:sz w:val="24"/>
                <w:szCs w:val="24"/>
                <w:highlight w:val="none"/>
                <w:u w:val="none"/>
              </w:rPr>
            </w:pPr>
          </w:p>
        </w:tc>
        <w:tc>
          <w:tcPr>
            <w:tcW w:w="2898" w:type="pct"/>
            <w:tcBorders>
              <w:top w:val="single" w:color="auto" w:sz="4" w:space="0"/>
              <w:left w:val="single" w:color="auto" w:sz="4" w:space="0"/>
              <w:bottom w:val="single" w:color="auto" w:sz="4" w:space="0"/>
              <w:right w:val="single" w:color="auto" w:sz="4" w:space="0"/>
            </w:tcBorders>
            <w:noWrap w:val="0"/>
            <w:vAlign w:val="center"/>
          </w:tcPr>
          <w:p w14:paraId="18F610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未经采购人书面同意，擅自变更驻场服务人员及维保技术团队成员的，一经发现扣10分/人。</w:t>
            </w:r>
          </w:p>
        </w:tc>
        <w:tc>
          <w:tcPr>
            <w:tcW w:w="557" w:type="pct"/>
            <w:tcBorders>
              <w:top w:val="single" w:color="auto" w:sz="4" w:space="0"/>
              <w:left w:val="single" w:color="auto" w:sz="4" w:space="0"/>
              <w:bottom w:val="single" w:color="auto" w:sz="4" w:space="0"/>
              <w:right w:val="single" w:color="auto" w:sz="4" w:space="0"/>
            </w:tcBorders>
            <w:noWrap w:val="0"/>
            <w:vAlign w:val="center"/>
          </w:tcPr>
          <w:p w14:paraId="0461BCB7">
            <w:pPr>
              <w:jc w:val="center"/>
              <w:rPr>
                <w:rFonts w:hint="eastAsia" w:ascii="宋体" w:hAnsi="宋体" w:eastAsia="宋体" w:cs="宋体"/>
                <w:i w:val="0"/>
                <w:iCs w:val="0"/>
                <w:color w:val="auto"/>
                <w:sz w:val="24"/>
                <w:szCs w:val="24"/>
                <w:highlight w:val="none"/>
                <w:u w:val="none"/>
              </w:rPr>
            </w:pPr>
          </w:p>
        </w:tc>
        <w:tc>
          <w:tcPr>
            <w:tcW w:w="541" w:type="pct"/>
            <w:tcBorders>
              <w:top w:val="single" w:color="auto" w:sz="4" w:space="0"/>
              <w:left w:val="single" w:color="auto" w:sz="4" w:space="0"/>
              <w:bottom w:val="single" w:color="auto" w:sz="4" w:space="0"/>
              <w:right w:val="single" w:color="auto" w:sz="4" w:space="0"/>
            </w:tcBorders>
            <w:noWrap w:val="0"/>
            <w:vAlign w:val="center"/>
          </w:tcPr>
          <w:p w14:paraId="13DEC20E">
            <w:pPr>
              <w:jc w:val="center"/>
              <w:rPr>
                <w:rFonts w:hint="eastAsia" w:ascii="宋体" w:hAnsi="宋体" w:eastAsia="宋体" w:cs="宋体"/>
                <w:i w:val="0"/>
                <w:iCs w:val="0"/>
                <w:color w:val="auto"/>
                <w:sz w:val="24"/>
                <w:szCs w:val="24"/>
                <w:highlight w:val="none"/>
                <w:u w:val="none"/>
              </w:rPr>
            </w:pPr>
          </w:p>
        </w:tc>
      </w:tr>
      <w:tr w14:paraId="16AD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continue"/>
            <w:tcBorders>
              <w:top w:val="single" w:color="auto" w:sz="4" w:space="0"/>
              <w:left w:val="single" w:color="auto" w:sz="4" w:space="0"/>
              <w:bottom w:val="single" w:color="auto" w:sz="4" w:space="0"/>
              <w:right w:val="single" w:color="auto" w:sz="4" w:space="0"/>
            </w:tcBorders>
            <w:noWrap/>
            <w:vAlign w:val="center"/>
          </w:tcPr>
          <w:p w14:paraId="5904F1D7">
            <w:pPr>
              <w:jc w:val="center"/>
              <w:rPr>
                <w:rFonts w:hint="eastAsia" w:ascii="宋体" w:hAnsi="宋体" w:eastAsia="宋体" w:cs="宋体"/>
                <w:i w:val="0"/>
                <w:iCs w:val="0"/>
                <w:color w:val="auto"/>
                <w:sz w:val="24"/>
                <w:szCs w:val="24"/>
                <w:highlight w:val="none"/>
                <w:u w:val="none"/>
              </w:rPr>
            </w:pPr>
          </w:p>
        </w:tc>
        <w:tc>
          <w:tcPr>
            <w:tcW w:w="704" w:type="pct"/>
            <w:vMerge w:val="continue"/>
            <w:tcBorders>
              <w:top w:val="single" w:color="auto" w:sz="4" w:space="0"/>
              <w:left w:val="single" w:color="auto" w:sz="4" w:space="0"/>
              <w:bottom w:val="single" w:color="auto" w:sz="4" w:space="0"/>
              <w:right w:val="single" w:color="auto" w:sz="4" w:space="0"/>
            </w:tcBorders>
            <w:noWrap/>
            <w:vAlign w:val="center"/>
          </w:tcPr>
          <w:p w14:paraId="1122BD22">
            <w:pPr>
              <w:jc w:val="center"/>
              <w:rPr>
                <w:rFonts w:hint="eastAsia" w:ascii="宋体" w:hAnsi="宋体" w:eastAsia="宋体" w:cs="宋体"/>
                <w:i w:val="0"/>
                <w:iCs w:val="0"/>
                <w:color w:val="auto"/>
                <w:sz w:val="24"/>
                <w:szCs w:val="24"/>
                <w:highlight w:val="none"/>
                <w:u w:val="none"/>
              </w:rPr>
            </w:pPr>
          </w:p>
        </w:tc>
        <w:tc>
          <w:tcPr>
            <w:tcW w:w="2898" w:type="pct"/>
            <w:tcBorders>
              <w:top w:val="single" w:color="auto" w:sz="4" w:space="0"/>
              <w:left w:val="single" w:color="auto" w:sz="4" w:space="0"/>
              <w:bottom w:val="single" w:color="auto" w:sz="4" w:space="0"/>
              <w:right w:val="single" w:color="auto" w:sz="4" w:space="0"/>
            </w:tcBorders>
            <w:noWrap w:val="0"/>
            <w:vAlign w:val="center"/>
          </w:tcPr>
          <w:p w14:paraId="17BCDB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持证上岗人员无证、持假证的，人员不符合上岗要求的，个人资料不实，弄虚作假的；扣</w:t>
            </w: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分/人。</w:t>
            </w:r>
          </w:p>
        </w:tc>
        <w:tc>
          <w:tcPr>
            <w:tcW w:w="557" w:type="pct"/>
            <w:tcBorders>
              <w:top w:val="single" w:color="auto" w:sz="4" w:space="0"/>
              <w:left w:val="single" w:color="auto" w:sz="4" w:space="0"/>
              <w:bottom w:val="single" w:color="auto" w:sz="4" w:space="0"/>
              <w:right w:val="single" w:color="auto" w:sz="4" w:space="0"/>
            </w:tcBorders>
            <w:noWrap w:val="0"/>
            <w:vAlign w:val="center"/>
          </w:tcPr>
          <w:p w14:paraId="1F5EA4A7">
            <w:pPr>
              <w:jc w:val="center"/>
              <w:rPr>
                <w:rFonts w:hint="eastAsia" w:ascii="宋体" w:hAnsi="宋体" w:eastAsia="宋体" w:cs="宋体"/>
                <w:i w:val="0"/>
                <w:iCs w:val="0"/>
                <w:color w:val="auto"/>
                <w:sz w:val="24"/>
                <w:szCs w:val="24"/>
                <w:highlight w:val="none"/>
                <w:u w:val="none"/>
              </w:rPr>
            </w:pPr>
          </w:p>
        </w:tc>
        <w:tc>
          <w:tcPr>
            <w:tcW w:w="541" w:type="pct"/>
            <w:tcBorders>
              <w:top w:val="single" w:color="auto" w:sz="4" w:space="0"/>
              <w:left w:val="single" w:color="auto" w:sz="4" w:space="0"/>
              <w:bottom w:val="single" w:color="auto" w:sz="4" w:space="0"/>
              <w:right w:val="single" w:color="auto" w:sz="4" w:space="0"/>
            </w:tcBorders>
            <w:noWrap w:val="0"/>
            <w:vAlign w:val="center"/>
          </w:tcPr>
          <w:p w14:paraId="54CE8C0C">
            <w:pPr>
              <w:jc w:val="center"/>
              <w:rPr>
                <w:rFonts w:hint="eastAsia" w:ascii="宋体" w:hAnsi="宋体" w:eastAsia="宋体" w:cs="宋体"/>
                <w:i w:val="0"/>
                <w:iCs w:val="0"/>
                <w:color w:val="auto"/>
                <w:sz w:val="24"/>
                <w:szCs w:val="24"/>
                <w:highlight w:val="none"/>
                <w:u w:val="none"/>
              </w:rPr>
            </w:pPr>
          </w:p>
        </w:tc>
      </w:tr>
      <w:tr w14:paraId="66D1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7" w:type="pct"/>
            <w:vMerge w:val="continue"/>
            <w:tcBorders>
              <w:top w:val="single" w:color="auto" w:sz="4" w:space="0"/>
              <w:left w:val="single" w:color="auto" w:sz="4" w:space="0"/>
              <w:bottom w:val="single" w:color="auto" w:sz="4" w:space="0"/>
              <w:right w:val="single" w:color="auto" w:sz="4" w:space="0"/>
            </w:tcBorders>
            <w:noWrap/>
            <w:vAlign w:val="center"/>
          </w:tcPr>
          <w:p w14:paraId="0E7E7A28">
            <w:pPr>
              <w:jc w:val="center"/>
              <w:rPr>
                <w:rFonts w:hint="eastAsia" w:ascii="宋体" w:hAnsi="宋体" w:eastAsia="宋体" w:cs="宋体"/>
                <w:i w:val="0"/>
                <w:iCs w:val="0"/>
                <w:color w:val="auto"/>
                <w:sz w:val="24"/>
                <w:szCs w:val="24"/>
                <w:highlight w:val="none"/>
                <w:u w:val="none"/>
              </w:rPr>
            </w:pPr>
          </w:p>
        </w:tc>
        <w:tc>
          <w:tcPr>
            <w:tcW w:w="704" w:type="pct"/>
            <w:vMerge w:val="continue"/>
            <w:tcBorders>
              <w:top w:val="single" w:color="auto" w:sz="4" w:space="0"/>
              <w:left w:val="single" w:color="auto" w:sz="4" w:space="0"/>
              <w:bottom w:val="single" w:color="auto" w:sz="4" w:space="0"/>
              <w:right w:val="single" w:color="auto" w:sz="4" w:space="0"/>
            </w:tcBorders>
            <w:noWrap/>
            <w:vAlign w:val="center"/>
          </w:tcPr>
          <w:p w14:paraId="10E1CAB0">
            <w:pPr>
              <w:jc w:val="center"/>
              <w:rPr>
                <w:rFonts w:hint="eastAsia" w:ascii="宋体" w:hAnsi="宋体" w:eastAsia="宋体" w:cs="宋体"/>
                <w:i w:val="0"/>
                <w:iCs w:val="0"/>
                <w:color w:val="auto"/>
                <w:sz w:val="24"/>
                <w:szCs w:val="24"/>
                <w:highlight w:val="none"/>
                <w:u w:val="none"/>
              </w:rPr>
            </w:pPr>
          </w:p>
        </w:tc>
        <w:tc>
          <w:tcPr>
            <w:tcW w:w="2898" w:type="pct"/>
            <w:tcBorders>
              <w:top w:val="single" w:color="auto" w:sz="4" w:space="0"/>
              <w:left w:val="single" w:color="auto" w:sz="4" w:space="0"/>
              <w:bottom w:val="single" w:color="auto" w:sz="4" w:space="0"/>
              <w:right w:val="single" w:color="auto" w:sz="4" w:space="0"/>
            </w:tcBorders>
            <w:noWrap w:val="0"/>
            <w:vAlign w:val="center"/>
          </w:tcPr>
          <w:p w14:paraId="14CBA44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发现安全隐患未及时上报采购人，因此发生事故造成采购人损失的，扣10分/次。</w:t>
            </w:r>
          </w:p>
        </w:tc>
        <w:tc>
          <w:tcPr>
            <w:tcW w:w="557" w:type="pct"/>
            <w:tcBorders>
              <w:top w:val="single" w:color="auto" w:sz="4" w:space="0"/>
              <w:left w:val="single" w:color="auto" w:sz="4" w:space="0"/>
              <w:bottom w:val="single" w:color="auto" w:sz="4" w:space="0"/>
              <w:right w:val="single" w:color="auto" w:sz="4" w:space="0"/>
            </w:tcBorders>
            <w:noWrap w:val="0"/>
            <w:vAlign w:val="center"/>
          </w:tcPr>
          <w:p w14:paraId="6C025AAB">
            <w:pPr>
              <w:jc w:val="center"/>
              <w:rPr>
                <w:rFonts w:hint="eastAsia" w:ascii="宋体" w:hAnsi="宋体" w:eastAsia="宋体" w:cs="宋体"/>
                <w:i w:val="0"/>
                <w:iCs w:val="0"/>
                <w:color w:val="auto"/>
                <w:sz w:val="24"/>
                <w:szCs w:val="24"/>
                <w:highlight w:val="none"/>
                <w:u w:val="none"/>
              </w:rPr>
            </w:pPr>
          </w:p>
        </w:tc>
        <w:tc>
          <w:tcPr>
            <w:tcW w:w="541" w:type="pct"/>
            <w:tcBorders>
              <w:top w:val="single" w:color="auto" w:sz="4" w:space="0"/>
              <w:left w:val="single" w:color="auto" w:sz="4" w:space="0"/>
              <w:bottom w:val="single" w:color="auto" w:sz="4" w:space="0"/>
              <w:right w:val="single" w:color="auto" w:sz="4" w:space="0"/>
            </w:tcBorders>
            <w:noWrap w:val="0"/>
            <w:vAlign w:val="center"/>
          </w:tcPr>
          <w:p w14:paraId="096A06B7">
            <w:pPr>
              <w:jc w:val="center"/>
              <w:rPr>
                <w:rFonts w:hint="eastAsia" w:ascii="宋体" w:hAnsi="宋体" w:eastAsia="宋体" w:cs="宋体"/>
                <w:i w:val="0"/>
                <w:iCs w:val="0"/>
                <w:color w:val="auto"/>
                <w:sz w:val="24"/>
                <w:szCs w:val="24"/>
                <w:highlight w:val="none"/>
                <w:u w:val="none"/>
              </w:rPr>
            </w:pPr>
          </w:p>
        </w:tc>
      </w:tr>
      <w:tr w14:paraId="4CFC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900" w:type="pct"/>
            <w:gridSpan w:val="3"/>
            <w:tcBorders>
              <w:top w:val="single" w:color="auto" w:sz="4" w:space="0"/>
              <w:left w:val="single" w:color="auto" w:sz="4" w:space="0"/>
              <w:bottom w:val="single" w:color="auto" w:sz="4" w:space="0"/>
              <w:right w:val="single" w:color="auto" w:sz="4" w:space="0"/>
            </w:tcBorders>
            <w:noWrap/>
            <w:vAlign w:val="center"/>
          </w:tcPr>
          <w:p w14:paraId="382D241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b w:val="0"/>
                <w:bCs w:val="0"/>
                <w:color w:val="000000"/>
                <w:kern w:val="0"/>
                <w:sz w:val="24"/>
                <w:szCs w:val="24"/>
                <w:lang w:val="en-US" w:eastAsia="zh-CN"/>
              </w:rPr>
              <w:t>总得分（满分100分）</w:t>
            </w:r>
          </w:p>
        </w:tc>
        <w:tc>
          <w:tcPr>
            <w:tcW w:w="557" w:type="pct"/>
            <w:tcBorders>
              <w:top w:val="single" w:color="auto" w:sz="4" w:space="0"/>
              <w:left w:val="single" w:color="auto" w:sz="4" w:space="0"/>
              <w:bottom w:val="single" w:color="auto" w:sz="4" w:space="0"/>
              <w:right w:val="single" w:color="auto" w:sz="4" w:space="0"/>
            </w:tcBorders>
            <w:noWrap w:val="0"/>
            <w:vAlign w:val="center"/>
          </w:tcPr>
          <w:p w14:paraId="71B485EA">
            <w:pPr>
              <w:jc w:val="center"/>
              <w:rPr>
                <w:rFonts w:hint="eastAsia" w:ascii="宋体" w:hAnsi="宋体" w:eastAsia="宋体" w:cs="宋体"/>
                <w:i w:val="0"/>
                <w:iCs w:val="0"/>
                <w:color w:val="auto"/>
                <w:sz w:val="24"/>
                <w:szCs w:val="24"/>
                <w:highlight w:val="none"/>
                <w:u w:val="none"/>
              </w:rPr>
            </w:pPr>
          </w:p>
        </w:tc>
        <w:tc>
          <w:tcPr>
            <w:tcW w:w="541" w:type="pct"/>
            <w:tcBorders>
              <w:top w:val="single" w:color="auto" w:sz="4" w:space="0"/>
              <w:left w:val="single" w:color="auto" w:sz="4" w:space="0"/>
              <w:bottom w:val="single" w:color="auto" w:sz="4" w:space="0"/>
              <w:right w:val="single" w:color="auto" w:sz="4" w:space="0"/>
            </w:tcBorders>
            <w:noWrap w:val="0"/>
            <w:vAlign w:val="center"/>
          </w:tcPr>
          <w:p w14:paraId="0EF56FCF">
            <w:pPr>
              <w:jc w:val="center"/>
              <w:rPr>
                <w:rFonts w:hint="eastAsia" w:ascii="宋体" w:hAnsi="宋体" w:eastAsia="宋体" w:cs="宋体"/>
                <w:i w:val="0"/>
                <w:iCs w:val="0"/>
                <w:color w:val="auto"/>
                <w:sz w:val="24"/>
                <w:szCs w:val="24"/>
                <w:highlight w:val="none"/>
                <w:u w:val="none"/>
              </w:rPr>
            </w:pPr>
          </w:p>
        </w:tc>
      </w:tr>
      <w:tr w14:paraId="5CE18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2" w:type="pct"/>
            <w:gridSpan w:val="2"/>
            <w:tcBorders>
              <w:top w:val="single" w:color="auto" w:sz="4" w:space="0"/>
              <w:left w:val="single" w:color="auto" w:sz="4" w:space="0"/>
              <w:bottom w:val="single" w:color="auto" w:sz="4" w:space="0"/>
              <w:right w:val="single" w:color="auto" w:sz="4" w:space="0"/>
            </w:tcBorders>
            <w:noWrap/>
            <w:vAlign w:val="center"/>
          </w:tcPr>
          <w:p w14:paraId="270D2A36">
            <w:pPr>
              <w:jc w:val="center"/>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color w:val="000000"/>
                <w:kern w:val="0"/>
                <w:sz w:val="24"/>
                <w:szCs w:val="24"/>
              </w:rPr>
              <w:t>监管部门检查考评人</w:t>
            </w:r>
            <w:r>
              <w:rPr>
                <w:rFonts w:hint="eastAsia" w:ascii="宋体" w:hAnsi="宋体" w:eastAsia="宋体" w:cs="宋体"/>
                <w:b w:val="0"/>
                <w:bCs w:val="0"/>
                <w:color w:val="000000"/>
                <w:kern w:val="0"/>
                <w:sz w:val="24"/>
                <w:szCs w:val="24"/>
                <w:lang w:val="en-US" w:eastAsia="zh-CN"/>
              </w:rPr>
              <w:t>签字</w:t>
            </w:r>
          </w:p>
        </w:tc>
        <w:tc>
          <w:tcPr>
            <w:tcW w:w="3997" w:type="pct"/>
            <w:gridSpan w:val="3"/>
            <w:tcBorders>
              <w:top w:val="single" w:color="auto" w:sz="4" w:space="0"/>
              <w:left w:val="single" w:color="auto" w:sz="4" w:space="0"/>
              <w:bottom w:val="single" w:color="auto" w:sz="4" w:space="0"/>
              <w:right w:val="single" w:color="auto" w:sz="4" w:space="0"/>
            </w:tcBorders>
            <w:noWrap w:val="0"/>
            <w:vAlign w:val="center"/>
          </w:tcPr>
          <w:p w14:paraId="241205E5">
            <w:pPr>
              <w:jc w:val="center"/>
              <w:rPr>
                <w:rFonts w:hint="eastAsia" w:ascii="宋体" w:hAnsi="宋体" w:eastAsia="宋体" w:cs="宋体"/>
                <w:i w:val="0"/>
                <w:iCs w:val="0"/>
                <w:color w:val="auto"/>
                <w:sz w:val="24"/>
                <w:szCs w:val="24"/>
                <w:highlight w:val="none"/>
                <w:u w:val="none"/>
              </w:rPr>
            </w:pPr>
          </w:p>
        </w:tc>
      </w:tr>
      <w:tr w14:paraId="39AA3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02" w:type="pct"/>
            <w:gridSpan w:val="2"/>
            <w:tcBorders>
              <w:top w:val="single" w:color="auto" w:sz="4" w:space="0"/>
              <w:left w:val="single" w:color="auto" w:sz="4" w:space="0"/>
              <w:bottom w:val="single" w:color="auto" w:sz="4" w:space="0"/>
              <w:right w:val="single" w:color="auto" w:sz="4" w:space="0"/>
            </w:tcBorders>
            <w:noWrap/>
            <w:vAlign w:val="center"/>
          </w:tcPr>
          <w:p w14:paraId="7582CDF1">
            <w:pPr>
              <w:jc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备注</w:t>
            </w:r>
          </w:p>
        </w:tc>
        <w:tc>
          <w:tcPr>
            <w:tcW w:w="3997" w:type="pct"/>
            <w:gridSpan w:val="3"/>
            <w:tcBorders>
              <w:top w:val="single" w:color="auto" w:sz="4" w:space="0"/>
              <w:left w:val="single" w:color="auto" w:sz="4" w:space="0"/>
              <w:bottom w:val="single" w:color="auto" w:sz="4" w:space="0"/>
              <w:right w:val="single" w:color="auto" w:sz="4" w:space="0"/>
            </w:tcBorders>
            <w:noWrap w:val="0"/>
            <w:vAlign w:val="center"/>
          </w:tcPr>
          <w:p w14:paraId="4442C560">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sz w:val="24"/>
                <w:szCs w:val="24"/>
                <w:highlight w:val="none"/>
                <w:u w:val="none"/>
              </w:rPr>
              <w:t>采购人每月对供应商进行考核（考核内容详见附件二），考核结果分为：合格与不合格。满分为100分，90分以上（含90分）为合格；90分以下为不合格。出现不合格时，每降低5分扣款2000元，考核涉及的所有扣款，均在服务款中扣除。出现不合格时，中标人必须向采购人提交整改方案，连续两个月或年度内累计3次出现服务考核不合格的，或因供应商原因导致采购人各项检查未通过的，采购人有权单方终止本合同。</w:t>
            </w:r>
          </w:p>
        </w:tc>
      </w:tr>
    </w:tbl>
    <w:p w14:paraId="12158377">
      <w:pPr>
        <w:rPr>
          <w:rFonts w:hint="default"/>
          <w:lang w:val="en-US" w:eastAsia="zh-CN"/>
        </w:rPr>
      </w:pPr>
      <w:r>
        <w:rPr>
          <w:rFonts w:hint="default"/>
          <w:lang w:val="en-US" w:eastAsia="zh-CN"/>
        </w:rPr>
        <w:br w:type="page"/>
      </w:r>
    </w:p>
    <w:p w14:paraId="1FA154AB">
      <w:pPr>
        <w:jc w:val="center"/>
        <w:rPr>
          <w:rFonts w:hint="eastAsia" w:ascii="宋体" w:hAnsi="宋体" w:eastAsia="宋体" w:cs="宋体"/>
          <w:sz w:val="28"/>
          <w:szCs w:val="28"/>
        </w:rPr>
      </w:pPr>
      <w:r>
        <w:rPr>
          <w:rFonts w:hint="eastAsia" w:ascii="宋体" w:hAnsi="宋体" w:eastAsia="宋体" w:cs="宋体"/>
          <w:sz w:val="28"/>
          <w:szCs w:val="28"/>
          <w:u w:val="single"/>
        </w:rPr>
        <w:t xml:space="preserve">      变配电系统维保服务</w:t>
      </w:r>
      <w:r>
        <w:rPr>
          <w:rFonts w:hint="eastAsia" w:ascii="宋体" w:hAnsi="宋体" w:eastAsia="宋体" w:cs="宋体"/>
          <w:sz w:val="28"/>
          <w:szCs w:val="28"/>
          <w:u w:val="single"/>
          <w:lang w:val="en-US" w:eastAsia="zh-CN"/>
        </w:rPr>
        <w:t>项目</w:t>
      </w:r>
      <w:r>
        <w:rPr>
          <w:rFonts w:hint="eastAsia" w:ascii="宋体" w:hAnsi="宋体" w:eastAsia="宋体" w:cs="宋体"/>
          <w:sz w:val="28"/>
          <w:szCs w:val="28"/>
          <w:u w:val="single"/>
        </w:rPr>
        <w:t xml:space="preserve">       </w:t>
      </w:r>
      <w:r>
        <w:rPr>
          <w:rFonts w:hint="eastAsia" w:ascii="宋体" w:hAnsi="宋体" w:eastAsia="宋体" w:cs="宋体"/>
          <w:sz w:val="28"/>
          <w:szCs w:val="28"/>
          <w:lang w:val="en-US" w:eastAsia="zh-CN"/>
        </w:rPr>
        <w:t>报价</w:t>
      </w:r>
      <w:r>
        <w:rPr>
          <w:rFonts w:hint="eastAsia" w:ascii="宋体" w:hAnsi="宋体" w:eastAsia="宋体" w:cs="宋体"/>
          <w:sz w:val="28"/>
          <w:szCs w:val="28"/>
        </w:rPr>
        <w:t>文件</w:t>
      </w:r>
    </w:p>
    <w:p w14:paraId="259F49CA">
      <w:pPr>
        <w:jc w:val="center"/>
        <w:rPr>
          <w:rFonts w:hint="eastAsia" w:ascii="宋体" w:hAnsi="宋体" w:eastAsia="宋体" w:cs="宋体"/>
          <w:sz w:val="28"/>
          <w:szCs w:val="28"/>
        </w:rPr>
      </w:pPr>
    </w:p>
    <w:p w14:paraId="711C4408">
      <w:pPr>
        <w:jc w:val="center"/>
        <w:rPr>
          <w:rFonts w:hint="eastAsia" w:ascii="宋体" w:hAnsi="宋体" w:eastAsia="宋体" w:cs="宋体"/>
          <w:sz w:val="28"/>
          <w:szCs w:val="28"/>
        </w:rPr>
      </w:pPr>
      <w:r>
        <w:rPr>
          <w:rFonts w:hint="eastAsia" w:ascii="宋体" w:hAnsi="宋体" w:eastAsia="宋体" w:cs="宋体"/>
          <w:sz w:val="28"/>
          <w:szCs w:val="28"/>
        </w:rPr>
        <w:t>（正本/副本）</w:t>
      </w:r>
    </w:p>
    <w:p w14:paraId="444F380B">
      <w:pPr>
        <w:jc w:val="center"/>
        <w:rPr>
          <w:rFonts w:hint="eastAsia" w:ascii="宋体" w:hAnsi="宋体" w:eastAsia="宋体" w:cs="宋体"/>
          <w:sz w:val="28"/>
          <w:szCs w:val="28"/>
        </w:rPr>
      </w:pPr>
    </w:p>
    <w:p w14:paraId="16A17CD5">
      <w:pPr>
        <w:jc w:val="center"/>
        <w:rPr>
          <w:rFonts w:hint="eastAsia" w:ascii="宋体" w:hAnsi="宋体" w:eastAsia="宋体" w:cs="宋体"/>
          <w:sz w:val="28"/>
          <w:szCs w:val="28"/>
        </w:rPr>
      </w:pPr>
    </w:p>
    <w:p w14:paraId="43344303">
      <w:pPr>
        <w:jc w:val="center"/>
        <w:rPr>
          <w:rFonts w:hint="eastAsia" w:ascii="宋体" w:hAnsi="宋体" w:eastAsia="宋体" w:cs="宋体"/>
          <w:sz w:val="28"/>
          <w:szCs w:val="28"/>
        </w:rPr>
      </w:pPr>
    </w:p>
    <w:p w14:paraId="419DCC30">
      <w:pPr>
        <w:jc w:val="center"/>
        <w:rPr>
          <w:rFonts w:hint="eastAsia" w:ascii="宋体" w:hAnsi="宋体" w:eastAsia="宋体" w:cs="宋体"/>
          <w:sz w:val="28"/>
          <w:szCs w:val="28"/>
        </w:rPr>
      </w:pPr>
    </w:p>
    <w:p w14:paraId="5525A0B5">
      <w:pPr>
        <w:spacing w:line="360" w:lineRule="auto"/>
        <w:ind w:firstLine="1400" w:firstLineChars="500"/>
        <w:jc w:val="left"/>
        <w:rPr>
          <w:rFonts w:hint="eastAsia" w:ascii="宋体" w:hAnsi="宋体" w:eastAsia="宋体" w:cs="宋体"/>
          <w:sz w:val="28"/>
          <w:szCs w:val="28"/>
        </w:rPr>
      </w:pPr>
      <w:r>
        <w:rPr>
          <w:rFonts w:hint="eastAsia" w:ascii="宋体" w:hAnsi="宋体" w:eastAsia="宋体" w:cs="宋体"/>
          <w:sz w:val="28"/>
          <w:szCs w:val="28"/>
        </w:rPr>
        <w:t>公司名称（盖章）：</w:t>
      </w:r>
    </w:p>
    <w:p w14:paraId="33AB1403">
      <w:pPr>
        <w:spacing w:line="360" w:lineRule="auto"/>
        <w:ind w:firstLine="1400" w:firstLineChars="5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联系人姓名：</w:t>
      </w:r>
    </w:p>
    <w:p w14:paraId="02EF109D">
      <w:pPr>
        <w:spacing w:line="360" w:lineRule="auto"/>
        <w:ind w:firstLine="1400" w:firstLineChars="500"/>
        <w:jc w:val="left"/>
        <w:rPr>
          <w:rFonts w:hint="eastAsia" w:ascii="宋体" w:hAnsi="宋体" w:eastAsia="宋体" w:cs="宋体"/>
          <w:sz w:val="28"/>
          <w:szCs w:val="28"/>
        </w:rPr>
      </w:pPr>
      <w:r>
        <w:rPr>
          <w:rFonts w:hint="eastAsia" w:ascii="宋体" w:hAnsi="宋体" w:eastAsia="宋体" w:cs="宋体"/>
          <w:sz w:val="28"/>
          <w:szCs w:val="28"/>
          <w:lang w:val="en-US" w:eastAsia="zh-CN"/>
        </w:rPr>
        <w:t>联系方式</w:t>
      </w:r>
      <w:r>
        <w:rPr>
          <w:rFonts w:hint="eastAsia" w:ascii="宋体" w:hAnsi="宋体" w:eastAsia="宋体" w:cs="宋体"/>
          <w:sz w:val="28"/>
          <w:szCs w:val="28"/>
        </w:rPr>
        <w:t>：</w:t>
      </w:r>
    </w:p>
    <w:p w14:paraId="611A2099">
      <w:pPr>
        <w:spacing w:line="360" w:lineRule="auto"/>
        <w:ind w:firstLine="1400" w:firstLineChars="500"/>
        <w:jc w:val="left"/>
        <w:rPr>
          <w:rFonts w:hint="eastAsia" w:ascii="宋体" w:hAnsi="宋体" w:eastAsia="宋体" w:cs="宋体"/>
          <w:sz w:val="28"/>
          <w:szCs w:val="28"/>
        </w:rPr>
      </w:pPr>
      <w:r>
        <w:rPr>
          <w:rFonts w:hint="eastAsia" w:ascii="宋体" w:hAnsi="宋体" w:eastAsia="宋体" w:cs="宋体"/>
          <w:sz w:val="28"/>
          <w:szCs w:val="28"/>
        </w:rPr>
        <w:t>邮寄地址：</w:t>
      </w:r>
    </w:p>
    <w:p w14:paraId="21F41C28">
      <w:pPr>
        <w:ind w:firstLine="1400" w:firstLineChars="500"/>
        <w:jc w:val="left"/>
        <w:rPr>
          <w:rFonts w:hint="default" w:ascii="宋体" w:hAnsi="宋体" w:eastAsia="宋体" w:cs="宋体"/>
          <w:sz w:val="28"/>
          <w:szCs w:val="28"/>
          <w:lang w:val="en-US" w:eastAsia="zh-CN"/>
        </w:rPr>
      </w:pPr>
    </w:p>
    <w:p w14:paraId="468DB6D4">
      <w:pPr>
        <w:jc w:val="center"/>
        <w:rPr>
          <w:rFonts w:hint="eastAsia" w:ascii="宋体" w:hAnsi="宋体" w:eastAsia="宋体" w:cs="宋体"/>
          <w:sz w:val="28"/>
          <w:szCs w:val="28"/>
        </w:rPr>
      </w:pPr>
    </w:p>
    <w:p w14:paraId="6F736794">
      <w:pPr>
        <w:jc w:val="center"/>
        <w:rPr>
          <w:rFonts w:hint="eastAsia" w:ascii="宋体" w:hAnsi="宋体" w:eastAsia="宋体" w:cs="宋体"/>
          <w:sz w:val="28"/>
          <w:szCs w:val="28"/>
        </w:rPr>
      </w:pPr>
    </w:p>
    <w:p w14:paraId="5F8CDE40">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73069688">
      <w:pPr>
        <w:rPr>
          <w:rFonts w:hint="eastAsia" w:ascii="宋体" w:hAnsi="宋体" w:eastAsia="宋体" w:cs="宋体"/>
          <w:sz w:val="28"/>
          <w:szCs w:val="28"/>
        </w:rPr>
      </w:pPr>
      <w:r>
        <w:rPr>
          <w:rFonts w:hint="eastAsia" w:ascii="宋体" w:hAnsi="宋体" w:eastAsia="宋体" w:cs="宋体"/>
          <w:sz w:val="28"/>
          <w:szCs w:val="28"/>
        </w:rPr>
        <w:br w:type="page"/>
      </w:r>
    </w:p>
    <w:p w14:paraId="0CBC4EE1">
      <w:pPr>
        <w:spacing w:beforeLines="100" w:afterLines="100"/>
        <w:jc w:val="center"/>
        <w:rPr>
          <w:rFonts w:hint="eastAsia" w:ascii="宋体" w:hAnsi="宋体" w:eastAsia="宋体" w:cs="宋体"/>
          <w:b/>
          <w:sz w:val="28"/>
          <w:szCs w:val="28"/>
        </w:rPr>
      </w:pPr>
      <w:r>
        <w:rPr>
          <w:rFonts w:hint="eastAsia" w:ascii="宋体" w:hAnsi="宋体" w:eastAsia="宋体" w:cs="宋体"/>
          <w:b/>
          <w:sz w:val="28"/>
          <w:szCs w:val="28"/>
        </w:rPr>
        <w:t>目    录</w:t>
      </w:r>
    </w:p>
    <w:p w14:paraId="17C01B15">
      <w:pPr>
        <w:spacing w:beforeLines="100" w:afterLines="100" w:line="480" w:lineRule="auto"/>
        <w:jc w:val="center"/>
        <w:rPr>
          <w:rFonts w:hint="eastAsia" w:ascii="宋体" w:hAnsi="宋体" w:eastAsia="宋体" w:cs="宋体"/>
          <w:strike/>
          <w:sz w:val="28"/>
          <w:szCs w:val="28"/>
        </w:rPr>
      </w:pPr>
      <w:r>
        <w:rPr>
          <w:rFonts w:hint="eastAsia" w:ascii="宋体" w:hAnsi="宋体" w:eastAsia="宋体" w:cs="宋体"/>
          <w:b/>
          <w:sz w:val="28"/>
          <w:szCs w:val="28"/>
        </w:rPr>
        <w:t>（应附有页码）</w:t>
      </w:r>
    </w:p>
    <w:p w14:paraId="20DCA570">
      <w:pPr>
        <w:pStyle w:val="3"/>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default" w:ascii="宋体" w:hAnsi="宋体" w:eastAsia="宋体" w:cs="宋体"/>
          <w:sz w:val="28"/>
          <w:szCs w:val="28"/>
          <w:lang w:val="en-US" w:eastAsia="zh-CN"/>
        </w:rPr>
        <w:t>声明函、公司直接控股股东信息表、公司直接管理关系信息表；</w:t>
      </w:r>
    </w:p>
    <w:p w14:paraId="1CFB5013">
      <w:pPr>
        <w:pStyle w:val="3"/>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default" w:ascii="宋体" w:hAnsi="宋体" w:eastAsia="宋体" w:cs="宋体"/>
          <w:sz w:val="28"/>
          <w:szCs w:val="28"/>
          <w:lang w:val="en-US" w:eastAsia="zh-CN"/>
        </w:rPr>
        <w:t>营业执照副本复印件加盖公章（要求清晰反映企业经营范围）；</w:t>
      </w:r>
    </w:p>
    <w:p w14:paraId="7D4340DF">
      <w:pPr>
        <w:pStyle w:val="3"/>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企业法人身份证复印件、授权委托书、被授权人身份证复印件；</w:t>
      </w:r>
    </w:p>
    <w:p w14:paraId="7AEFCBBE">
      <w:pPr>
        <w:pStyle w:val="3"/>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响应表；</w:t>
      </w:r>
    </w:p>
    <w:p w14:paraId="1183AE87">
      <w:pPr>
        <w:pStyle w:val="3"/>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报价单；</w:t>
      </w:r>
    </w:p>
    <w:p w14:paraId="4DC335A1">
      <w:pPr>
        <w:pStyle w:val="3"/>
        <w:ind w:left="0" w:leftChars="0"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提供自2023年1月1日以来同类项目业绩至少三份（提供合同关键页、成交公告等证明材料）；</w:t>
      </w:r>
    </w:p>
    <w:p w14:paraId="3D7DD4E4">
      <w:pPr>
        <w:spacing w:line="360" w:lineRule="auto"/>
        <w:ind w:firstLine="420" w:firstLineChars="0"/>
        <w:rPr>
          <w:rFonts w:hint="eastAsia" w:ascii="宋体" w:hAnsi="宋体" w:eastAsia="宋体" w:cs="宋体"/>
          <w:color w:val="auto"/>
          <w:sz w:val="28"/>
          <w:szCs w:val="28"/>
        </w:rPr>
      </w:pPr>
      <w:r>
        <w:rPr>
          <w:rFonts w:hint="eastAsia" w:ascii="宋体" w:hAnsi="宋体" w:eastAsia="宋体" w:cs="宋体"/>
          <w:color w:val="auto"/>
          <w:sz w:val="28"/>
          <w:szCs w:val="28"/>
        </w:rPr>
        <w:t>备注：目录必须附上页码，若公司希望展示更多内容，请自行添加标题及页码，无页码将导致无法查阅，请知悉。</w:t>
      </w:r>
    </w:p>
    <w:p w14:paraId="7BA5F37A">
      <w:pPr>
        <w:snapToGrid w:val="0"/>
        <w:spacing w:before="50" w:afterLines="50"/>
        <w:jc w:val="center"/>
        <w:rPr>
          <w:rFonts w:hint="default"/>
          <w:lang w:val="en-US" w:eastAsia="zh-CN"/>
        </w:rPr>
      </w:pPr>
      <w:r>
        <w:rPr>
          <w:rFonts w:hint="eastAsia" w:ascii="宋体" w:hAnsi="宋体" w:eastAsia="宋体" w:cs="宋体"/>
          <w:color w:val="auto"/>
          <w:sz w:val="28"/>
          <w:szCs w:val="28"/>
        </w:rPr>
        <w:br w:type="page"/>
      </w:r>
      <w:r>
        <w:rPr>
          <w:rFonts w:hint="eastAsia" w:ascii="宋体" w:hAnsi="宋体" w:cs="宋体"/>
          <w:b/>
          <w:bCs/>
          <w:sz w:val="28"/>
          <w:szCs w:val="28"/>
          <w:lang w:val="en-US" w:eastAsia="zh-CN"/>
        </w:rPr>
        <w:t>1、</w:t>
      </w:r>
      <w:r>
        <w:rPr>
          <w:rFonts w:hint="default" w:ascii="宋体" w:hAnsi="宋体" w:eastAsia="宋体" w:cs="宋体"/>
          <w:b/>
          <w:bCs/>
          <w:sz w:val="28"/>
          <w:szCs w:val="28"/>
          <w:lang w:val="en-US" w:eastAsia="zh-CN"/>
        </w:rPr>
        <w:t>声明函、公司直接控股股东信息表、公司直接管理关系信息表</w:t>
      </w:r>
    </w:p>
    <w:p w14:paraId="13110FC8">
      <w:pPr>
        <w:snapToGrid w:val="0"/>
        <w:spacing w:before="50" w:afterLines="50"/>
        <w:jc w:val="center"/>
        <w:rPr>
          <w:rFonts w:hint="eastAsia" w:ascii="宋体" w:hAnsi="宋体" w:cs="宋体"/>
          <w:b/>
          <w:color w:val="000000"/>
          <w:sz w:val="32"/>
          <w:szCs w:val="32"/>
        </w:rPr>
      </w:pPr>
    </w:p>
    <w:p w14:paraId="53995B07">
      <w:pPr>
        <w:snapToGrid w:val="0"/>
        <w:spacing w:before="50" w:afterLines="5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声明函</w:t>
      </w:r>
    </w:p>
    <w:p w14:paraId="2808314F">
      <w:pPr>
        <w:snapToGrid w:val="0"/>
        <w:spacing w:before="50" w:afterLines="50"/>
        <w:jc w:val="center"/>
        <w:rPr>
          <w:rFonts w:hint="eastAsia" w:ascii="宋体" w:hAnsi="宋体" w:eastAsia="宋体" w:cs="宋体"/>
          <w:b/>
          <w:color w:val="000000"/>
          <w:sz w:val="32"/>
          <w:szCs w:val="32"/>
        </w:rPr>
      </w:pPr>
    </w:p>
    <w:p w14:paraId="6A8485DC">
      <w:pPr>
        <w:tabs>
          <w:tab w:val="left" w:pos="7200"/>
        </w:tabs>
        <w:spacing w:line="360" w:lineRule="auto"/>
        <w:rPr>
          <w:rFonts w:hint="eastAsia" w:ascii="宋体" w:hAnsi="宋体" w:eastAsia="宋体" w:cs="宋体"/>
          <w:color w:val="000000"/>
          <w:szCs w:val="21"/>
        </w:rPr>
      </w:pPr>
      <w:r>
        <w:rPr>
          <w:rFonts w:hint="eastAsia" w:ascii="宋体" w:hAnsi="宋体" w:eastAsia="宋体" w:cs="宋体"/>
          <w:color w:val="000000"/>
          <w:szCs w:val="21"/>
        </w:rPr>
        <w:t>致：_</w:t>
      </w:r>
      <w:r>
        <w:rPr>
          <w:rFonts w:hint="eastAsia" w:ascii="宋体" w:hAnsi="宋体" w:eastAsia="宋体" w:cs="宋体"/>
          <w:color w:val="000000"/>
          <w:szCs w:val="21"/>
          <w:u w:val="single"/>
        </w:rPr>
        <w:t xml:space="preserve">  广西医科大学第一附属医院 </w:t>
      </w:r>
    </w:p>
    <w:p w14:paraId="4E700983">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我方愿意参加贵方组织的</w:t>
      </w:r>
      <w:r>
        <w:rPr>
          <w:rFonts w:hint="eastAsia" w:ascii="宋体" w:hAnsi="宋体" w:eastAsia="宋体" w:cs="宋体"/>
          <w:color w:val="000000"/>
          <w:szCs w:val="21"/>
          <w:u w:val="single"/>
        </w:rPr>
        <w:t>变配电系统维保服务</w:t>
      </w:r>
      <w:r>
        <w:rPr>
          <w:rFonts w:hint="eastAsia" w:ascii="宋体" w:hAnsi="宋体" w:eastAsia="宋体" w:cs="宋体"/>
          <w:color w:val="000000"/>
          <w:szCs w:val="21"/>
          <w:u w:val="single"/>
          <w:lang w:val="en-US" w:eastAsia="zh-CN"/>
        </w:rPr>
        <w:t>项目</w:t>
      </w:r>
      <w:r>
        <w:rPr>
          <w:rFonts w:hint="eastAsia" w:ascii="宋体" w:hAnsi="宋体" w:eastAsia="宋体" w:cs="宋体"/>
          <w:color w:val="000000"/>
          <w:szCs w:val="21"/>
        </w:rPr>
        <w:t>的竞标，为便于贵方公正、择优地确定成交人，我方声明如下：</w:t>
      </w:r>
    </w:p>
    <w:p w14:paraId="25645F94">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w:t>
      </w:r>
      <w:r>
        <w:rPr>
          <w:rFonts w:hint="eastAsia" w:ascii="宋体" w:hAnsi="宋体" w:eastAsia="宋体" w:cs="宋体"/>
          <w:color w:val="000000"/>
          <w:szCs w:val="21"/>
          <w:lang w:eastAsia="zh-CN"/>
        </w:rPr>
        <w:t>、</w:t>
      </w:r>
      <w:r>
        <w:rPr>
          <w:rFonts w:hint="eastAsia" w:ascii="宋体" w:hAnsi="宋体" w:eastAsia="宋体" w:cs="宋体"/>
          <w:color w:val="000000"/>
          <w:szCs w:val="21"/>
        </w:rPr>
        <w:t>我方不是为本次采购项目提供整体设计、规范编制或者项目管理、监理、检测等货物的供应商；在获知本项目</w:t>
      </w:r>
      <w:bookmarkStart w:id="10" w:name="OLE_LINK29"/>
      <w:r>
        <w:rPr>
          <w:rFonts w:hint="eastAsia" w:ascii="宋体" w:hAnsi="宋体" w:eastAsia="宋体" w:cs="宋体"/>
          <w:color w:val="000000"/>
          <w:szCs w:val="21"/>
        </w:rPr>
        <w:t>采购信息后，与</w:t>
      </w:r>
      <w:bookmarkEnd w:id="10"/>
      <w:r>
        <w:rPr>
          <w:rFonts w:hint="eastAsia" w:ascii="宋体" w:hAnsi="宋体" w:eastAsia="宋体" w:cs="宋体"/>
          <w:color w:val="000000"/>
          <w:szCs w:val="21"/>
        </w:rPr>
        <w:t xml:space="preserve">采购人聘请的为此项目提供咨询货物的公司及其附属机构没有任何联系。其他关系详见“公司直接控股股东信息表”、“ 公司直接管理关系信息表”。 </w:t>
      </w:r>
    </w:p>
    <w:p w14:paraId="73C50387">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zCs w:val="21"/>
          <w:lang w:eastAsia="zh-CN"/>
        </w:rPr>
        <w:t>、</w:t>
      </w:r>
      <w:r>
        <w:rPr>
          <w:rFonts w:hint="eastAsia" w:ascii="宋体" w:hAnsi="宋体" w:eastAsia="宋体" w:cs="宋体"/>
          <w:color w:val="000000"/>
          <w:szCs w:val="21"/>
        </w:rPr>
        <w:t>经查询，在“信用中国”和“中国政府采购网”网站我方未被列入失信被执行人、重大税收违法案件当事人名单、政府采购严重违法失信行为记录名单。</w:t>
      </w:r>
    </w:p>
    <w:p w14:paraId="56C36BA0">
      <w:pPr>
        <w:pStyle w:val="11"/>
        <w:ind w:left="0" w:leftChars="0" w:firstLine="42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3、我方有以下行为之一的，同意贵方将我方列入不良行为记录： </w:t>
      </w:r>
    </w:p>
    <w:p w14:paraId="0693D700">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提供虚假材料谋取中标、成交的。 </w:t>
      </w:r>
    </w:p>
    <w:p w14:paraId="0CB6D45D">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采取不正当手段诋毁、排挤其他供应商的。 </w:t>
      </w:r>
    </w:p>
    <w:p w14:paraId="545DC1D1">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与我院工作人员、其他供应商或者招标代理机构恶意串通的。 </w:t>
      </w:r>
    </w:p>
    <w:p w14:paraId="1EF0C4CC">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向我院工作人员、招标代理机构行贿或者提供其他不正当利益的。 </w:t>
      </w:r>
    </w:p>
    <w:p w14:paraId="128249E1">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在招标采购过程中与采购人进行协商谈判的。 </w:t>
      </w:r>
    </w:p>
    <w:p w14:paraId="779C601F">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拒绝有关部门监督检查或者提供虚假情况的。 </w:t>
      </w:r>
    </w:p>
    <w:p w14:paraId="10CBAD2C">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7)</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供应商向评标委员会、竞争性谈判小组或者询价小组成员行贿或者提供其他不正当利益。 </w:t>
      </w:r>
    </w:p>
    <w:p w14:paraId="619FFDC0">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8)</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中标或者成交后无正当理由拒不与我院签订采购合同。 </w:t>
      </w:r>
    </w:p>
    <w:p w14:paraId="24CDB20A">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9)</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供应商将采购合同分包、转包（采购合同未禁止分包、 转包的除外）。 </w:t>
      </w:r>
    </w:p>
    <w:p w14:paraId="0D8A3F11">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10)</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供应商提供假冒伪劣产品。 </w:t>
      </w:r>
    </w:p>
    <w:p w14:paraId="46947544">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11)</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供应商捏造事实、提供虚假材料或者以非法手段取得证明材料进行投诉的。 </w:t>
      </w:r>
    </w:p>
    <w:p w14:paraId="5FA8C728">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12)</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供应商擅自变更、中止或者终止采购合同。 </w:t>
      </w:r>
    </w:p>
    <w:p w14:paraId="260D1D1B">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13)</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供应商直接或者间接从我院工作人员或者采购代理机构处获得其他供应商的相关情况并修改其投标文件或者响应文件。 </w:t>
      </w:r>
    </w:p>
    <w:p w14:paraId="60295EB4">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14)</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供应商按照我院或者采购代理机构的授意撤换、修改投标文件或者响应文件。 </w:t>
      </w:r>
    </w:p>
    <w:p w14:paraId="27CBAEB5">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15)</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供应商之间协商报价、技术方案等投标文件或者响应文件的实质性内容。 </w:t>
      </w:r>
    </w:p>
    <w:p w14:paraId="71871121">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16)</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属于同一集团、协会、商会等组织成员的供应商按照该组织要求协同参加采购活动。 </w:t>
      </w:r>
    </w:p>
    <w:p w14:paraId="79F2E0FD">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17)</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供应商之间事先约定由某一特定供应商中标、成交。 </w:t>
      </w:r>
    </w:p>
    <w:p w14:paraId="6FF2890A">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18)</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供应商之间商定部分供应商放弃参加采购活动或者放弃中标、成交。 </w:t>
      </w:r>
    </w:p>
    <w:p w14:paraId="0738FC9D">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19)</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供应商与我院或者采购代理机构之间、供应商相互之间，为谋求特定供应商中标、成交或者排斥其他供应商的其他串通行为。 </w:t>
      </w:r>
    </w:p>
    <w:p w14:paraId="720ACFC1">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20)</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在购销活动中给予医务人员“红包”“回扣”“提成” 或任何形式的不当利益的。 </w:t>
      </w:r>
    </w:p>
    <w:p w14:paraId="6A68A25E">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21)</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所经销的货物质量有问题，且不积极配合医院相关部门处理的。 </w:t>
      </w:r>
    </w:p>
    <w:p w14:paraId="5ECE5BB0">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22)</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违法广告宣传、促销、误导消费等不良行为的。 </w:t>
      </w:r>
    </w:p>
    <w:p w14:paraId="24B66E11">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23)</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不按约定时间配送药品、医疗器械、耗材，尤其是急救类用品，影响临床正常使用的。 </w:t>
      </w:r>
    </w:p>
    <w:p w14:paraId="1236609B">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24)</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在购销活动中不遵守保密规定、未经医院同意擅自将医院药品、医疗器械、耗材数据信息披露的。 </w:t>
      </w:r>
    </w:p>
    <w:p w14:paraId="4A91559A">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25)</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药品价格变动未及时向医院书面反馈，给医院或患者造成损失的。 </w:t>
      </w:r>
    </w:p>
    <w:p w14:paraId="1AD73987">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26)</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传播虚假信息，严重干扰医院正常工作程序，造成恶劣影响的。 </w:t>
      </w:r>
    </w:p>
    <w:p w14:paraId="0F540B21">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27)</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供应商与厂家恶意串通，故意提高药品、医疗器械、耗材供应价格的。 </w:t>
      </w:r>
    </w:p>
    <w:p w14:paraId="4DA8FF36">
      <w:pPr>
        <w:pStyle w:val="11"/>
        <w:ind w:firstLine="420"/>
        <w:rPr>
          <w:rFonts w:hint="eastAsia" w:ascii="宋体" w:hAnsi="宋体" w:eastAsia="宋体" w:cs="宋体"/>
          <w:color w:val="000000"/>
          <w:sz w:val="21"/>
          <w:szCs w:val="21"/>
        </w:rPr>
      </w:pPr>
      <w:r>
        <w:rPr>
          <w:rFonts w:hint="eastAsia" w:ascii="宋体" w:hAnsi="宋体" w:eastAsia="宋体" w:cs="宋体"/>
          <w:color w:val="000000"/>
          <w:sz w:val="21"/>
          <w:szCs w:val="21"/>
        </w:rPr>
        <w:t>28)</w:t>
      </w:r>
      <w:r>
        <w:rPr>
          <w:rFonts w:hint="eastAsia" w:ascii="宋体" w:hAnsi="宋体" w:eastAsia="宋体" w:cs="宋体"/>
          <w:color w:val="000000"/>
          <w:sz w:val="21"/>
          <w:szCs w:val="21"/>
        </w:rPr>
        <w:tab/>
      </w:r>
      <w:r>
        <w:rPr>
          <w:rFonts w:hint="eastAsia" w:ascii="宋体" w:hAnsi="宋体" w:eastAsia="宋体" w:cs="宋体"/>
          <w:color w:val="000000"/>
          <w:sz w:val="21"/>
          <w:szCs w:val="21"/>
        </w:rPr>
        <w:t>法规、规章规定的其他政府采购严重违法失信行为。</w:t>
      </w:r>
    </w:p>
    <w:p w14:paraId="48CC3173">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4</w:t>
      </w:r>
      <w:r>
        <w:rPr>
          <w:rFonts w:hint="eastAsia" w:ascii="宋体" w:hAnsi="宋体" w:eastAsia="宋体" w:cs="宋体"/>
          <w:color w:val="000000"/>
          <w:szCs w:val="21"/>
          <w:lang w:eastAsia="zh-CN"/>
        </w:rPr>
        <w:t>、</w:t>
      </w:r>
      <w:r>
        <w:rPr>
          <w:rFonts w:hint="eastAsia" w:ascii="宋体" w:hAnsi="宋体" w:eastAsia="宋体" w:cs="宋体"/>
          <w:color w:val="000000"/>
          <w:szCs w:val="21"/>
        </w:rPr>
        <w:t xml:space="preserve">以上事项如有虚假或隐瞒，我方愿意承担一切后果，并不再寻求任何旨在减轻或免除法律责任的辩解。 </w:t>
      </w:r>
    </w:p>
    <w:p w14:paraId="441C6547">
      <w:pPr>
        <w:snapToGrid w:val="0"/>
        <w:spacing w:before="50" w:afterLines="100" w:line="360" w:lineRule="auto"/>
        <w:ind w:left="7428" w:leftChars="2223" w:hanging="2760" w:hangingChars="1150"/>
        <w:jc w:val="left"/>
        <w:rPr>
          <w:rFonts w:hint="eastAsia" w:ascii="宋体" w:hAnsi="宋体" w:eastAsia="宋体" w:cs="宋体"/>
          <w:color w:val="000000"/>
          <w:sz w:val="24"/>
        </w:rPr>
      </w:pPr>
    </w:p>
    <w:p w14:paraId="1159B215">
      <w:pPr>
        <w:snapToGrid w:val="0"/>
        <w:spacing w:before="50" w:afterLines="100" w:line="360" w:lineRule="auto"/>
        <w:ind w:left="7428" w:leftChars="2223" w:hanging="2760" w:hangingChars="1150"/>
        <w:jc w:val="left"/>
        <w:rPr>
          <w:rFonts w:hint="eastAsia" w:ascii="宋体" w:hAnsi="宋体" w:eastAsia="宋体" w:cs="宋体"/>
          <w:color w:val="000000"/>
          <w:sz w:val="24"/>
        </w:rPr>
      </w:pPr>
    </w:p>
    <w:p w14:paraId="4BFB3DFD">
      <w:pPr>
        <w:snapToGrid w:val="0"/>
        <w:spacing w:before="50" w:afterLines="100" w:line="360" w:lineRule="auto"/>
        <w:ind w:left="7083" w:leftChars="2223" w:hanging="2415" w:hangingChars="1150"/>
        <w:jc w:val="left"/>
        <w:rPr>
          <w:rFonts w:hint="eastAsia" w:ascii="宋体" w:hAnsi="宋体" w:eastAsia="宋体" w:cs="宋体"/>
          <w:color w:val="000000"/>
          <w:szCs w:val="21"/>
        </w:rPr>
      </w:pPr>
      <w:r>
        <w:rPr>
          <w:rFonts w:hint="eastAsia" w:ascii="宋体" w:hAnsi="宋体" w:eastAsia="宋体" w:cs="宋体"/>
          <w:color w:val="000000"/>
          <w:kern w:val="2"/>
          <w:sz w:val="21"/>
          <w:szCs w:val="21"/>
          <w:lang w:val="en-US" w:eastAsia="zh-CN" w:bidi="ar-SA"/>
        </w:rPr>
        <w:t xml:space="preserve"> </w:t>
      </w:r>
      <w:r>
        <w:rPr>
          <w:rFonts w:hint="eastAsia" w:ascii="宋体" w:hAnsi="宋体" w:eastAsia="宋体" w:cs="宋体"/>
          <w:color w:val="000000"/>
          <w:kern w:val="2"/>
          <w:sz w:val="21"/>
          <w:szCs w:val="21"/>
          <w:lang w:val="zh-CN" w:eastAsia="zh-CN" w:bidi="ar-SA"/>
        </w:rPr>
        <w:t>供应商名称(公章)：</w:t>
      </w:r>
      <w:r>
        <w:rPr>
          <w:rFonts w:hint="eastAsia" w:ascii="宋体" w:hAnsi="宋体" w:eastAsia="宋体" w:cs="宋体"/>
          <w:color w:val="000000"/>
          <w:szCs w:val="21"/>
        </w:rPr>
        <w:t xml:space="preserve">                               </w:t>
      </w:r>
    </w:p>
    <w:p w14:paraId="797C6789">
      <w:pPr>
        <w:snapToGrid w:val="0"/>
        <w:spacing w:before="50" w:afterLines="100" w:line="360" w:lineRule="auto"/>
        <w:ind w:left="7073" w:leftChars="2318" w:hanging="2205" w:hangingChars="1050"/>
        <w:jc w:val="left"/>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zh-CN" w:eastAsia="zh-CN" w:bidi="ar-SA"/>
        </w:rPr>
        <w:t>年    月    日</w:t>
      </w:r>
    </w:p>
    <w:p w14:paraId="0E2B80EE">
      <w:pPr>
        <w:snapToGrid w:val="0"/>
        <w:spacing w:before="50" w:afterLines="50" w:line="360" w:lineRule="auto"/>
        <w:jc w:val="center"/>
        <w:rPr>
          <w:rFonts w:hint="eastAsia" w:ascii="宋体" w:hAnsi="宋体" w:eastAsia="宋体" w:cs="宋体"/>
          <w:b/>
          <w:color w:val="000000"/>
          <w:kern w:val="0"/>
          <w:sz w:val="32"/>
          <w:szCs w:val="32"/>
        </w:rPr>
      </w:pPr>
      <w:r>
        <w:rPr>
          <w:rFonts w:hint="eastAsia" w:ascii="宋体" w:hAnsi="宋体" w:eastAsia="宋体" w:cs="宋体"/>
          <w:color w:val="auto"/>
          <w:sz w:val="28"/>
          <w:szCs w:val="28"/>
        </w:rPr>
        <w:br w:type="page"/>
      </w:r>
      <w:r>
        <w:rPr>
          <w:rFonts w:hint="eastAsia" w:ascii="宋体" w:hAnsi="宋体" w:eastAsia="宋体" w:cs="宋体"/>
          <w:b/>
          <w:color w:val="000000"/>
          <w:kern w:val="0"/>
          <w:sz w:val="32"/>
          <w:szCs w:val="32"/>
        </w:rPr>
        <w:t>公司直接控股股东信息表</w:t>
      </w:r>
    </w:p>
    <w:tbl>
      <w:tblPr>
        <w:tblStyle w:val="12"/>
        <w:tblW w:w="4998" w:type="pct"/>
        <w:tblInd w:w="0" w:type="dxa"/>
        <w:shd w:val="clear" w:color="auto" w:fill="FBFBFB"/>
        <w:tblLayout w:type="autofit"/>
        <w:tblCellMar>
          <w:top w:w="0" w:type="dxa"/>
          <w:left w:w="0" w:type="dxa"/>
          <w:bottom w:w="0" w:type="dxa"/>
          <w:right w:w="0" w:type="dxa"/>
        </w:tblCellMar>
      </w:tblPr>
      <w:tblGrid>
        <w:gridCol w:w="745"/>
        <w:gridCol w:w="2046"/>
        <w:gridCol w:w="1116"/>
        <w:gridCol w:w="3358"/>
        <w:gridCol w:w="1278"/>
      </w:tblGrid>
      <w:tr w14:paraId="417A83F4">
        <w:tblPrEx>
          <w:shd w:val="clear" w:color="auto" w:fill="FBFBFB"/>
          <w:tblCellMar>
            <w:top w:w="0" w:type="dxa"/>
            <w:left w:w="0" w:type="dxa"/>
            <w:bottom w:w="0" w:type="dxa"/>
            <w:right w:w="0" w:type="dxa"/>
          </w:tblCellMar>
        </w:tblPrEx>
        <w:trPr>
          <w:tblHeader/>
        </w:trPr>
        <w:tc>
          <w:tcPr>
            <w:tcW w:w="436"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40896B8">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19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85A294E">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直接控股股东名称</w:t>
            </w:r>
          </w:p>
        </w:tc>
        <w:tc>
          <w:tcPr>
            <w:tcW w:w="65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BFD463B">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出资比例</w:t>
            </w:r>
          </w:p>
        </w:tc>
        <w:tc>
          <w:tcPr>
            <w:tcW w:w="1964"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70F7A5">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身份证号码或者统一社会信用代码</w:t>
            </w:r>
          </w:p>
        </w:tc>
        <w:tc>
          <w:tcPr>
            <w:tcW w:w="74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095DDD7">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备注</w:t>
            </w:r>
          </w:p>
        </w:tc>
      </w:tr>
      <w:tr w14:paraId="62352BFF">
        <w:tblPrEx>
          <w:shd w:val="clear" w:color="auto" w:fill="FBFBFB"/>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D6DF556">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63ACC9">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17747C3">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75611A">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60F000">
            <w:pPr>
              <w:spacing w:line="360" w:lineRule="auto"/>
              <w:jc w:val="center"/>
              <w:rPr>
                <w:rFonts w:hint="eastAsia" w:ascii="宋体" w:hAnsi="宋体" w:eastAsia="宋体" w:cs="宋体"/>
                <w:color w:val="000000"/>
                <w:kern w:val="0"/>
                <w:sz w:val="24"/>
              </w:rPr>
            </w:pPr>
          </w:p>
        </w:tc>
      </w:tr>
      <w:tr w14:paraId="4B4E8C91">
        <w:tblPrEx>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7E500FF">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22A6E2">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1583C9">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3FE014">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688A48">
            <w:pPr>
              <w:spacing w:line="360" w:lineRule="auto"/>
              <w:jc w:val="center"/>
              <w:rPr>
                <w:rFonts w:hint="eastAsia" w:ascii="宋体" w:hAnsi="宋体" w:eastAsia="宋体" w:cs="宋体"/>
                <w:color w:val="000000"/>
                <w:kern w:val="0"/>
                <w:sz w:val="24"/>
              </w:rPr>
            </w:pPr>
          </w:p>
        </w:tc>
      </w:tr>
      <w:tr w14:paraId="0B4351F1">
        <w:tblPrEx>
          <w:shd w:val="clear" w:color="auto" w:fill="FBFBFB"/>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DF9F27">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C37D8F">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22BE6">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89BFDE">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8B1DC8">
            <w:pPr>
              <w:spacing w:line="360" w:lineRule="auto"/>
              <w:jc w:val="center"/>
              <w:rPr>
                <w:rFonts w:hint="eastAsia" w:ascii="宋体" w:hAnsi="宋体" w:eastAsia="宋体" w:cs="宋体"/>
                <w:color w:val="000000"/>
                <w:kern w:val="0"/>
                <w:sz w:val="24"/>
              </w:rPr>
            </w:pPr>
          </w:p>
        </w:tc>
      </w:tr>
      <w:tr w14:paraId="39778110">
        <w:tblPrEx>
          <w:shd w:val="clear" w:color="auto" w:fill="FBFBFB"/>
          <w:tblCellMar>
            <w:top w:w="0" w:type="dxa"/>
            <w:left w:w="0" w:type="dxa"/>
            <w:bottom w:w="0" w:type="dxa"/>
            <w:right w:w="0" w:type="dxa"/>
          </w:tblCellMar>
        </w:tblPrEx>
        <w:tc>
          <w:tcPr>
            <w:tcW w:w="436"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EF4D4A7">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119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B8A754">
            <w:pPr>
              <w:spacing w:line="360" w:lineRule="auto"/>
              <w:jc w:val="center"/>
              <w:rPr>
                <w:rFonts w:hint="eastAsia" w:ascii="宋体" w:hAnsi="宋体" w:eastAsia="宋体" w:cs="宋体"/>
                <w:color w:val="000000"/>
                <w:kern w:val="0"/>
                <w:sz w:val="24"/>
              </w:rPr>
            </w:pPr>
          </w:p>
        </w:tc>
        <w:tc>
          <w:tcPr>
            <w:tcW w:w="65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745BCD0">
            <w:pPr>
              <w:spacing w:line="360" w:lineRule="auto"/>
              <w:jc w:val="center"/>
              <w:rPr>
                <w:rFonts w:hint="eastAsia" w:ascii="宋体" w:hAnsi="宋体" w:eastAsia="宋体" w:cs="宋体"/>
                <w:color w:val="000000"/>
                <w:kern w:val="0"/>
                <w:sz w:val="24"/>
              </w:rPr>
            </w:pPr>
          </w:p>
        </w:tc>
        <w:tc>
          <w:tcPr>
            <w:tcW w:w="1964"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0DAFED">
            <w:pPr>
              <w:spacing w:line="360" w:lineRule="auto"/>
              <w:jc w:val="center"/>
              <w:rPr>
                <w:rFonts w:hint="eastAsia" w:ascii="宋体" w:hAnsi="宋体" w:eastAsia="宋体" w:cs="宋体"/>
                <w:color w:val="000000"/>
                <w:kern w:val="0"/>
                <w:sz w:val="24"/>
              </w:rPr>
            </w:pPr>
          </w:p>
        </w:tc>
        <w:tc>
          <w:tcPr>
            <w:tcW w:w="74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5267443">
            <w:pPr>
              <w:spacing w:line="360" w:lineRule="auto"/>
              <w:jc w:val="center"/>
              <w:rPr>
                <w:rFonts w:hint="eastAsia" w:ascii="宋体" w:hAnsi="宋体" w:eastAsia="宋体" w:cs="宋体"/>
                <w:color w:val="000000"/>
                <w:kern w:val="0"/>
                <w:sz w:val="24"/>
              </w:rPr>
            </w:pPr>
          </w:p>
        </w:tc>
      </w:tr>
    </w:tbl>
    <w:p w14:paraId="7452F843">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注：</w:t>
      </w:r>
    </w:p>
    <w:p w14:paraId="386371CB">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w:t>
      </w:r>
      <w:bookmarkStart w:id="11" w:name="OLE_LINK4"/>
      <w:r>
        <w:rPr>
          <w:rFonts w:hint="eastAsia" w:ascii="宋体" w:hAnsi="宋体" w:eastAsia="宋体" w:cs="宋体"/>
          <w:color w:val="000000"/>
          <w:sz w:val="24"/>
        </w:rPr>
        <w:t>产生重大影响的</w:t>
      </w:r>
      <w:bookmarkEnd w:id="11"/>
      <w:r>
        <w:rPr>
          <w:rFonts w:hint="eastAsia" w:ascii="宋体" w:hAnsi="宋体" w:eastAsia="宋体" w:cs="宋体"/>
          <w:color w:val="000000"/>
          <w:sz w:val="24"/>
        </w:rPr>
        <w:t>股东。</w:t>
      </w:r>
    </w:p>
    <w:p w14:paraId="41D1AC93">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2.本表所指的控股关系仅限于直接控股关系，不包括间接的控股关系。公司实际控制人与公司之间的关系不属于本表所指的直接控股关系。</w:t>
      </w:r>
    </w:p>
    <w:p w14:paraId="162DC14E">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3.供应商不存在直接控股股东</w:t>
      </w:r>
      <w:bookmarkStart w:id="12" w:name="OLE_LINK30"/>
      <w:r>
        <w:rPr>
          <w:rFonts w:hint="eastAsia" w:ascii="宋体" w:hAnsi="宋体" w:eastAsia="宋体" w:cs="宋体"/>
          <w:color w:val="000000"/>
          <w:sz w:val="24"/>
        </w:rPr>
        <w:t>的，则</w:t>
      </w:r>
      <w:bookmarkEnd w:id="12"/>
      <w:r>
        <w:rPr>
          <w:rFonts w:hint="eastAsia" w:ascii="宋体" w:hAnsi="宋体" w:eastAsia="宋体" w:cs="宋体"/>
          <w:color w:val="000000"/>
          <w:sz w:val="24"/>
        </w:rPr>
        <w:t>填“无”。</w:t>
      </w:r>
    </w:p>
    <w:p w14:paraId="67712F13">
      <w:pPr>
        <w:snapToGrid w:val="0"/>
        <w:spacing w:line="360" w:lineRule="auto"/>
        <w:jc w:val="left"/>
        <w:rPr>
          <w:rFonts w:ascii="宋体" w:hAnsi="宋体" w:cs="宋体"/>
          <w:color w:val="000000"/>
          <w:sz w:val="24"/>
        </w:rPr>
      </w:pPr>
    </w:p>
    <w:p w14:paraId="1B93711F">
      <w:pPr>
        <w:snapToGrid w:val="0"/>
        <w:spacing w:line="360" w:lineRule="auto"/>
        <w:jc w:val="left"/>
        <w:rPr>
          <w:rFonts w:ascii="宋体" w:hAnsi="宋体" w:cs="宋体"/>
          <w:color w:val="000000"/>
          <w:sz w:val="24"/>
        </w:rPr>
      </w:pPr>
    </w:p>
    <w:p w14:paraId="74862B01">
      <w:pPr>
        <w:snapToGrid w:val="0"/>
        <w:spacing w:before="50" w:afterLines="100" w:line="360" w:lineRule="auto"/>
        <w:ind w:left="7428" w:leftChars="2223" w:hanging="2760" w:hangingChars="1150"/>
        <w:jc w:val="right"/>
        <w:rPr>
          <w:rFonts w:hint="eastAsia" w:ascii="宋体" w:hAnsi="宋体" w:eastAsia="宋体" w:cs="宋体"/>
          <w:color w:val="000000"/>
          <w:szCs w:val="21"/>
        </w:rPr>
      </w:pPr>
      <w:r>
        <w:rPr>
          <w:rFonts w:hint="eastAsia" w:ascii="宋体" w:hAnsi="宋体" w:eastAsia="宋体" w:cs="宋体"/>
          <w:color w:val="000000"/>
          <w:kern w:val="0"/>
          <w:sz w:val="24"/>
          <w:lang w:val="zh-CN"/>
        </w:rPr>
        <w:t>供应商名称(公章)：</w:t>
      </w:r>
      <w:r>
        <w:rPr>
          <w:rFonts w:hint="eastAsia" w:ascii="宋体" w:hAnsi="宋体" w:eastAsia="宋体" w:cs="宋体"/>
          <w:color w:val="000000"/>
          <w:szCs w:val="21"/>
        </w:rPr>
        <w:t xml:space="preserve">                               </w:t>
      </w:r>
    </w:p>
    <w:p w14:paraId="42BE0E91">
      <w:pPr>
        <w:spacing w:line="360" w:lineRule="auto"/>
        <w:ind w:firstLine="6300" w:firstLineChars="3000"/>
        <w:rPr>
          <w:rFonts w:hint="eastAsia" w:ascii="宋体" w:hAnsi="宋体" w:eastAsia="宋体" w:cs="宋体"/>
          <w:color w:val="000000"/>
          <w:szCs w:val="21"/>
        </w:rPr>
      </w:pPr>
      <w:r>
        <w:rPr>
          <w:rFonts w:hint="eastAsia" w:ascii="宋体" w:hAnsi="宋体" w:eastAsia="宋体" w:cs="宋体"/>
          <w:color w:val="000000"/>
          <w:szCs w:val="21"/>
        </w:rPr>
        <w:t>年    月    日</w:t>
      </w:r>
    </w:p>
    <w:p w14:paraId="2B536D18">
      <w:pPr>
        <w:snapToGrid w:val="0"/>
        <w:spacing w:line="360" w:lineRule="auto"/>
        <w:jc w:val="center"/>
        <w:rPr>
          <w:rFonts w:hint="eastAsia" w:ascii="宋体" w:hAnsi="宋体" w:eastAsia="宋体" w:cs="宋体"/>
          <w:color w:val="000000"/>
          <w:sz w:val="32"/>
          <w:szCs w:val="32"/>
        </w:rPr>
      </w:pPr>
      <w:r>
        <w:rPr>
          <w:rFonts w:hint="eastAsia" w:ascii="宋体" w:hAnsi="宋体" w:eastAsia="宋体" w:cs="宋体"/>
          <w:color w:val="000000"/>
          <w:szCs w:val="21"/>
        </w:rPr>
        <w:br w:type="page"/>
      </w:r>
      <w:r>
        <w:rPr>
          <w:rFonts w:hint="eastAsia" w:ascii="宋体" w:hAnsi="宋体" w:eastAsia="宋体" w:cs="宋体"/>
          <w:b/>
          <w:color w:val="000000"/>
          <w:sz w:val="32"/>
          <w:szCs w:val="32"/>
        </w:rPr>
        <w:t>公司直接管理关系信息表</w:t>
      </w:r>
    </w:p>
    <w:tbl>
      <w:tblPr>
        <w:tblStyle w:val="12"/>
        <w:tblW w:w="4998" w:type="pct"/>
        <w:tblInd w:w="0" w:type="dxa"/>
        <w:shd w:val="clear" w:color="auto" w:fill="FBFBFB"/>
        <w:tblLayout w:type="autofit"/>
        <w:tblCellMar>
          <w:top w:w="0" w:type="dxa"/>
          <w:left w:w="0" w:type="dxa"/>
          <w:bottom w:w="0" w:type="dxa"/>
          <w:right w:w="0" w:type="dxa"/>
        </w:tblCellMar>
      </w:tblPr>
      <w:tblGrid>
        <w:gridCol w:w="889"/>
        <w:gridCol w:w="2353"/>
        <w:gridCol w:w="3474"/>
        <w:gridCol w:w="1827"/>
      </w:tblGrid>
      <w:tr w14:paraId="1152F48A">
        <w:tblPrEx>
          <w:shd w:val="clear" w:color="auto" w:fill="FBFBFB"/>
          <w:tblCellMar>
            <w:top w:w="0" w:type="dxa"/>
            <w:left w:w="0" w:type="dxa"/>
            <w:bottom w:w="0" w:type="dxa"/>
            <w:right w:w="0" w:type="dxa"/>
          </w:tblCellMar>
        </w:tblPrEx>
        <w:trPr>
          <w:tblHeader/>
        </w:trPr>
        <w:tc>
          <w:tcPr>
            <w:tcW w:w="520"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892053">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377"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845989F">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直接管理关系单位名称</w:t>
            </w:r>
          </w:p>
        </w:tc>
        <w:tc>
          <w:tcPr>
            <w:tcW w:w="2033"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50DFB9A">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统一社会信用代码</w:t>
            </w:r>
          </w:p>
        </w:tc>
        <w:tc>
          <w:tcPr>
            <w:tcW w:w="1069" w:type="pct"/>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250E448">
            <w:pPr>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备注</w:t>
            </w:r>
          </w:p>
        </w:tc>
      </w:tr>
      <w:tr w14:paraId="2CBB91E6">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D74F40">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2ACDA85">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539348B">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1489E6">
            <w:pPr>
              <w:spacing w:line="360" w:lineRule="auto"/>
              <w:jc w:val="center"/>
              <w:rPr>
                <w:rFonts w:hint="eastAsia" w:ascii="宋体" w:hAnsi="宋体" w:eastAsia="宋体" w:cs="宋体"/>
                <w:color w:val="000000"/>
                <w:kern w:val="0"/>
                <w:sz w:val="24"/>
              </w:rPr>
            </w:pPr>
          </w:p>
        </w:tc>
      </w:tr>
      <w:tr w14:paraId="6644BE00">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625C9F">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8C96DC">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C9AA691">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711453">
            <w:pPr>
              <w:spacing w:line="360" w:lineRule="auto"/>
              <w:jc w:val="center"/>
              <w:rPr>
                <w:rFonts w:hint="eastAsia" w:ascii="宋体" w:hAnsi="宋体" w:eastAsia="宋体" w:cs="宋体"/>
                <w:color w:val="000000"/>
                <w:kern w:val="0"/>
                <w:sz w:val="24"/>
              </w:rPr>
            </w:pPr>
          </w:p>
        </w:tc>
      </w:tr>
      <w:tr w14:paraId="164D99AC">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EF570F6">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C50BDB">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5B0B9E">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6A862B">
            <w:pPr>
              <w:spacing w:line="360" w:lineRule="auto"/>
              <w:jc w:val="center"/>
              <w:rPr>
                <w:rFonts w:hint="eastAsia" w:ascii="宋体" w:hAnsi="宋体" w:eastAsia="宋体" w:cs="宋体"/>
                <w:color w:val="000000"/>
                <w:kern w:val="0"/>
                <w:sz w:val="24"/>
              </w:rPr>
            </w:pPr>
          </w:p>
        </w:tc>
      </w:tr>
      <w:tr w14:paraId="19B868A8">
        <w:tblPrEx>
          <w:tblCellMar>
            <w:top w:w="0" w:type="dxa"/>
            <w:left w:w="0" w:type="dxa"/>
            <w:bottom w:w="0" w:type="dxa"/>
            <w:right w:w="0" w:type="dxa"/>
          </w:tblCellMar>
        </w:tblPrEx>
        <w:tc>
          <w:tcPr>
            <w:tcW w:w="520"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1C06B4">
            <w:pPr>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w:t>
            </w:r>
          </w:p>
        </w:tc>
        <w:tc>
          <w:tcPr>
            <w:tcW w:w="1377"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6D8F38">
            <w:pPr>
              <w:spacing w:line="360" w:lineRule="auto"/>
              <w:jc w:val="center"/>
              <w:rPr>
                <w:rFonts w:hint="eastAsia" w:ascii="宋体" w:hAnsi="宋体" w:eastAsia="宋体" w:cs="宋体"/>
                <w:color w:val="000000"/>
                <w:kern w:val="0"/>
                <w:sz w:val="24"/>
              </w:rPr>
            </w:pPr>
          </w:p>
        </w:tc>
        <w:tc>
          <w:tcPr>
            <w:tcW w:w="2033"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E0DE0E">
            <w:pPr>
              <w:spacing w:line="360" w:lineRule="auto"/>
              <w:jc w:val="center"/>
              <w:rPr>
                <w:rFonts w:hint="eastAsia" w:ascii="宋体" w:hAnsi="宋体" w:eastAsia="宋体" w:cs="宋体"/>
                <w:color w:val="000000"/>
                <w:kern w:val="0"/>
                <w:sz w:val="24"/>
              </w:rPr>
            </w:pPr>
          </w:p>
        </w:tc>
        <w:tc>
          <w:tcPr>
            <w:tcW w:w="1069" w:type="pct"/>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11C4890">
            <w:pPr>
              <w:spacing w:line="360" w:lineRule="auto"/>
              <w:jc w:val="center"/>
              <w:rPr>
                <w:rFonts w:hint="eastAsia" w:ascii="宋体" w:hAnsi="宋体" w:eastAsia="宋体" w:cs="宋体"/>
                <w:color w:val="000000"/>
                <w:kern w:val="0"/>
                <w:sz w:val="24"/>
              </w:rPr>
            </w:pPr>
          </w:p>
        </w:tc>
      </w:tr>
    </w:tbl>
    <w:p w14:paraId="58F6EEF5">
      <w:pPr>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注：</w:t>
      </w:r>
    </w:p>
    <w:p w14:paraId="1BAC17A9">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1.管理关系：是指不具</w:t>
      </w:r>
      <w:bookmarkStart w:id="13" w:name="OLE_LINK13"/>
      <w:r>
        <w:rPr>
          <w:rFonts w:hint="eastAsia" w:ascii="宋体" w:hAnsi="宋体" w:eastAsia="宋体" w:cs="宋体"/>
          <w:color w:val="000000"/>
          <w:sz w:val="24"/>
        </w:rPr>
        <w:t>有出资持股</w:t>
      </w:r>
      <w:bookmarkEnd w:id="13"/>
      <w:r>
        <w:rPr>
          <w:rFonts w:hint="eastAsia" w:ascii="宋体" w:hAnsi="宋体" w:eastAsia="宋体" w:cs="宋体"/>
          <w:color w:val="000000"/>
          <w:sz w:val="24"/>
        </w:rPr>
        <w:t>关系的其他单位之间存在的管理与被管理关系，如一些上下级关系的事业单位和团体组织。</w:t>
      </w:r>
    </w:p>
    <w:p w14:paraId="4FBCB893">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pacing w:val="-6"/>
          <w:sz w:val="24"/>
        </w:rPr>
        <w:t>本表所指的管理关系仅限于直接管理关系，不包括间接的管理关系。</w:t>
      </w:r>
    </w:p>
    <w:p w14:paraId="315A81BC">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3.供应商不存在直接管理关系的，则填“无”。</w:t>
      </w:r>
    </w:p>
    <w:p w14:paraId="07675A90">
      <w:pPr>
        <w:snapToGrid w:val="0"/>
        <w:spacing w:line="360" w:lineRule="auto"/>
        <w:jc w:val="left"/>
        <w:rPr>
          <w:rFonts w:hint="eastAsia" w:ascii="宋体" w:hAnsi="宋体" w:eastAsia="宋体" w:cs="宋体"/>
          <w:color w:val="000000"/>
          <w:sz w:val="24"/>
        </w:rPr>
      </w:pPr>
    </w:p>
    <w:p w14:paraId="191EC88A">
      <w:pPr>
        <w:snapToGrid w:val="0"/>
        <w:spacing w:line="360" w:lineRule="auto"/>
        <w:jc w:val="left"/>
        <w:rPr>
          <w:rFonts w:hint="eastAsia" w:ascii="宋体" w:hAnsi="宋体" w:eastAsia="宋体" w:cs="宋体"/>
          <w:color w:val="000000"/>
          <w:sz w:val="24"/>
        </w:rPr>
      </w:pPr>
    </w:p>
    <w:p w14:paraId="1F278E50">
      <w:pPr>
        <w:snapToGrid w:val="0"/>
        <w:spacing w:before="50" w:afterLines="100" w:line="360" w:lineRule="auto"/>
        <w:jc w:val="right"/>
        <w:rPr>
          <w:rFonts w:hint="eastAsia" w:ascii="宋体" w:hAnsi="宋体" w:eastAsia="宋体" w:cs="宋体"/>
          <w:color w:val="000000"/>
          <w:szCs w:val="21"/>
        </w:rPr>
      </w:pPr>
      <w:r>
        <w:rPr>
          <w:rFonts w:hint="eastAsia" w:ascii="宋体" w:hAnsi="宋体" w:eastAsia="宋体" w:cs="宋体"/>
          <w:color w:val="000000"/>
          <w:kern w:val="0"/>
          <w:sz w:val="24"/>
          <w:lang w:val="zh-CN"/>
        </w:rPr>
        <w:t>供应商名称(公章)：</w:t>
      </w:r>
      <w:r>
        <w:rPr>
          <w:rFonts w:hint="eastAsia" w:ascii="宋体" w:hAnsi="宋体" w:eastAsia="宋体" w:cs="宋体"/>
          <w:color w:val="000000"/>
          <w:szCs w:val="21"/>
        </w:rPr>
        <w:t xml:space="preserve">                               </w:t>
      </w:r>
    </w:p>
    <w:p w14:paraId="1AC11673">
      <w:pPr>
        <w:snapToGrid w:val="0"/>
        <w:spacing w:before="50" w:afterLines="50"/>
        <w:jc w:val="right"/>
        <w:rPr>
          <w:rFonts w:hint="eastAsia" w:ascii="宋体" w:hAnsi="宋体" w:eastAsia="宋体" w:cs="宋体"/>
          <w:color w:val="000000"/>
          <w:szCs w:val="21"/>
        </w:rPr>
      </w:pPr>
      <w:r>
        <w:rPr>
          <w:rFonts w:hint="eastAsia" w:ascii="宋体" w:hAnsi="宋体" w:eastAsia="宋体" w:cs="宋体"/>
          <w:color w:val="000000"/>
          <w:szCs w:val="21"/>
        </w:rPr>
        <w:t>年    月    日</w:t>
      </w:r>
    </w:p>
    <w:p w14:paraId="24FB3C05">
      <w:pPr>
        <w:rPr>
          <w:rFonts w:hint="eastAsia" w:ascii="宋体" w:hAnsi="宋体" w:eastAsia="宋体" w:cs="宋体"/>
          <w:color w:val="000000"/>
          <w:szCs w:val="21"/>
        </w:rPr>
      </w:pPr>
      <w:r>
        <w:rPr>
          <w:rFonts w:hint="eastAsia" w:ascii="宋体" w:hAnsi="宋体" w:eastAsia="宋体" w:cs="宋体"/>
          <w:color w:val="000000"/>
          <w:szCs w:val="21"/>
        </w:rPr>
        <w:br w:type="page"/>
      </w:r>
    </w:p>
    <w:p w14:paraId="2D4A2750">
      <w:pPr>
        <w:numPr>
          <w:ilvl w:val="0"/>
          <w:numId w:val="0"/>
        </w:numPr>
        <w:snapToGrid w:val="0"/>
        <w:spacing w:before="50" w:afterLines="50"/>
        <w:ind w:left="0" w:leftChars="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2、</w:t>
      </w:r>
      <w:r>
        <w:rPr>
          <w:rFonts w:hint="eastAsia" w:ascii="宋体" w:hAnsi="宋体" w:eastAsia="宋体" w:cs="宋体"/>
          <w:b/>
          <w:bCs/>
          <w:sz w:val="28"/>
          <w:szCs w:val="28"/>
          <w:lang w:val="en-US" w:eastAsia="zh-CN"/>
        </w:rPr>
        <w:t>营业执照副本复印件加盖公章（要求清晰反映企业经营范围）；</w:t>
      </w:r>
    </w:p>
    <w:p w14:paraId="070F15AA">
      <w:pPr>
        <w:numPr>
          <w:ilvl w:val="0"/>
          <w:numId w:val="0"/>
        </w:numPr>
        <w:snapToGrid w:val="0"/>
        <w:spacing w:before="50" w:afterLines="50"/>
        <w:ind w:leftChars="0"/>
        <w:jc w:val="both"/>
        <w:rPr>
          <w:rFonts w:hint="eastAsia" w:ascii="宋体" w:hAnsi="宋体" w:eastAsia="宋体" w:cs="宋体"/>
          <w:b/>
          <w:bCs/>
          <w:sz w:val="28"/>
          <w:szCs w:val="28"/>
          <w:lang w:val="en-US" w:eastAsia="zh-CN"/>
        </w:rPr>
      </w:pPr>
    </w:p>
    <w:p w14:paraId="75A34414">
      <w:pPr>
        <w:snapToGrid w:val="0"/>
        <w:spacing w:before="50" w:afterLines="50"/>
        <w:jc w:val="center"/>
        <w:rPr>
          <w:rFonts w:hint="eastAsia" w:ascii="宋体" w:hAnsi="宋体" w:eastAsia="宋体" w:cs="宋体"/>
          <w:b/>
          <w:bCs/>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lang w:val="en-US" w:eastAsia="zh-CN"/>
        </w:rPr>
        <w:t>3、企业法人身份证复印件、授权委托书、被授权人身份证复印件；</w:t>
      </w:r>
    </w:p>
    <w:p w14:paraId="4C8736F6">
      <w:pPr>
        <w:pStyle w:val="2"/>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4、响应表</w:t>
      </w:r>
    </w:p>
    <w:tbl>
      <w:tblPr>
        <w:tblStyle w:val="12"/>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456"/>
        <w:gridCol w:w="480"/>
        <w:gridCol w:w="9778"/>
        <w:gridCol w:w="1311"/>
        <w:gridCol w:w="1682"/>
      </w:tblGrid>
      <w:tr w14:paraId="33A6E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70" w:type="dxa"/>
            <w:gridSpan w:val="4"/>
            <w:tcBorders>
              <w:top w:val="single" w:color="auto" w:sz="4" w:space="0"/>
              <w:left w:val="single" w:color="auto" w:sz="4" w:space="0"/>
              <w:bottom w:val="single" w:color="auto" w:sz="4" w:space="0"/>
              <w:right w:val="single" w:color="auto" w:sz="4" w:space="0"/>
            </w:tcBorders>
            <w:noWrap w:val="0"/>
            <w:vAlign w:val="top"/>
          </w:tcPr>
          <w:p w14:paraId="317DEE39">
            <w:pPr>
              <w:pStyle w:val="7"/>
              <w:snapToGrid w:val="0"/>
              <w:spacing w:before="120" w:after="120" w:line="340" w:lineRule="exact"/>
              <w:jc w:val="center"/>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供应商资格要求</w:t>
            </w:r>
          </w:p>
          <w:p w14:paraId="14C257FD">
            <w:pPr>
              <w:pStyle w:val="7"/>
              <w:keepNext w:val="0"/>
              <w:keepLines w:val="0"/>
              <w:pageBreakBefore w:val="0"/>
              <w:kinsoku/>
              <w:wordWrap/>
              <w:overflowPunct/>
              <w:topLinePunct w:val="0"/>
              <w:autoSpaceDE/>
              <w:autoSpaceDN/>
              <w:bidi w:val="0"/>
              <w:adjustRightInd/>
              <w:snapToGrid w:val="0"/>
              <w:spacing w:line="300" w:lineRule="auto"/>
              <w:textAlignment w:val="auto"/>
              <w:rPr>
                <w:rFonts w:hint="eastAsia" w:ascii="宋体" w:hAnsi="宋体" w:eastAsia="宋体" w:cs="宋体"/>
                <w:b/>
                <w:sz w:val="24"/>
                <w:szCs w:val="24"/>
                <w:lang w:val="en-US" w:eastAsia="zh-CN"/>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14:paraId="03717A4A">
            <w:pPr>
              <w:keepNext w:val="0"/>
              <w:keepLines w:val="0"/>
              <w:widowControl/>
              <w:suppressLineNumbers w:val="0"/>
              <w:jc w:val="both"/>
              <w:textAlignment w:val="center"/>
              <w:rPr>
                <w:rFonts w:hint="eastAsia" w:ascii="宋体" w:hAnsi="宋体" w:eastAsia="宋体" w:cs="宋体"/>
                <w:b/>
                <w:sz w:val="24"/>
                <w:szCs w:val="24"/>
                <w:lang w:val="en-US" w:eastAsia="zh-CN"/>
              </w:rPr>
            </w:pPr>
            <w:r>
              <w:rPr>
                <w:rFonts w:hint="eastAsia" w:ascii="宋体" w:hAnsi="宋体" w:eastAsia="宋体" w:cs="宋体"/>
                <w:b/>
                <w:bCs/>
                <w:i w:val="0"/>
                <w:iCs w:val="0"/>
                <w:color w:val="000000"/>
                <w:kern w:val="0"/>
                <w:sz w:val="21"/>
                <w:szCs w:val="21"/>
                <w:u w:val="none"/>
                <w:lang w:val="en-US" w:eastAsia="zh-CN" w:bidi="ar"/>
              </w:rPr>
              <w:t>参数是否响应（是/否）</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6A21B99E">
            <w:pPr>
              <w:keepNext w:val="0"/>
              <w:keepLines w:val="0"/>
              <w:widowControl/>
              <w:suppressLineNumbers w:val="0"/>
              <w:jc w:val="both"/>
              <w:textAlignment w:val="center"/>
              <w:rPr>
                <w:rFonts w:hint="eastAsia" w:ascii="宋体" w:hAnsi="宋体" w:eastAsia="宋体" w:cs="宋体"/>
                <w:b/>
                <w:sz w:val="24"/>
                <w:szCs w:val="24"/>
                <w:lang w:val="en-US" w:eastAsia="zh-CN"/>
              </w:rPr>
            </w:pPr>
            <w:r>
              <w:rPr>
                <w:rFonts w:hint="eastAsia" w:ascii="宋体" w:hAnsi="宋体" w:eastAsia="宋体" w:cs="宋体"/>
                <w:b/>
                <w:bCs/>
                <w:i w:val="0"/>
                <w:iCs w:val="0"/>
                <w:color w:val="000000"/>
                <w:kern w:val="0"/>
                <w:sz w:val="21"/>
                <w:szCs w:val="21"/>
                <w:u w:val="none"/>
                <w:lang w:val="en-US" w:eastAsia="zh-CN" w:bidi="ar"/>
              </w:rPr>
              <w:t>备注(若不符合，或有优化建议，请在此栏填写)</w:t>
            </w:r>
          </w:p>
        </w:tc>
      </w:tr>
      <w:tr w14:paraId="33111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170" w:type="dxa"/>
            <w:gridSpan w:val="4"/>
            <w:tcBorders>
              <w:top w:val="single" w:color="auto" w:sz="4" w:space="0"/>
              <w:left w:val="single" w:color="auto" w:sz="4" w:space="0"/>
              <w:bottom w:val="single" w:color="auto" w:sz="4" w:space="0"/>
              <w:right w:val="single" w:color="auto" w:sz="4" w:space="0"/>
            </w:tcBorders>
            <w:noWrap w:val="0"/>
            <w:vAlign w:val="top"/>
          </w:tcPr>
          <w:p w14:paraId="3BB85F73">
            <w:pPr>
              <w:pStyle w:val="7"/>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71B6BAFD">
            <w:pPr>
              <w:pStyle w:val="7"/>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2、本项目的特定资格要求：供应商具有承装(修、试)类四级及以上《承装(修、试)电力设施许可证》。</w:t>
            </w:r>
          </w:p>
          <w:p w14:paraId="1445ADE3">
            <w:pPr>
              <w:pStyle w:val="7"/>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587164DE">
            <w:pPr>
              <w:pStyle w:val="7"/>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sz w:val="24"/>
                <w:szCs w:val="24"/>
                <w:lang w:val="en-US" w:eastAsia="zh-CN"/>
              </w:rPr>
            </w:pPr>
            <w:r>
              <w:rPr>
                <w:rFonts w:hint="eastAsia" w:ascii="宋体" w:hAnsi="宋体" w:eastAsia="宋体" w:cs="宋体"/>
                <w:kern w:val="2"/>
                <w:sz w:val="24"/>
                <w:szCs w:val="24"/>
                <w:lang w:val="en-US" w:eastAsia="zh-CN" w:bidi="ar-SA"/>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本次采购活动。</w:t>
            </w:r>
          </w:p>
        </w:tc>
        <w:tc>
          <w:tcPr>
            <w:tcW w:w="1311" w:type="dxa"/>
            <w:tcBorders>
              <w:top w:val="single" w:color="auto" w:sz="4" w:space="0"/>
              <w:left w:val="single" w:color="auto" w:sz="4" w:space="0"/>
              <w:bottom w:val="single" w:color="auto" w:sz="4" w:space="0"/>
              <w:right w:val="single" w:color="auto" w:sz="4" w:space="0"/>
            </w:tcBorders>
            <w:noWrap w:val="0"/>
            <w:vAlign w:val="top"/>
          </w:tcPr>
          <w:p w14:paraId="5F4812EF">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sz w:val="24"/>
                <w:szCs w:val="24"/>
                <w:lang w:val="en-US" w:eastAsia="zh-CN"/>
              </w:rPr>
            </w:pPr>
          </w:p>
        </w:tc>
        <w:tc>
          <w:tcPr>
            <w:tcW w:w="1682" w:type="dxa"/>
            <w:tcBorders>
              <w:top w:val="single" w:color="auto" w:sz="4" w:space="0"/>
              <w:left w:val="single" w:color="auto" w:sz="4" w:space="0"/>
              <w:bottom w:val="single" w:color="auto" w:sz="4" w:space="0"/>
              <w:right w:val="single" w:color="auto" w:sz="4" w:space="0"/>
            </w:tcBorders>
            <w:noWrap w:val="0"/>
            <w:vAlign w:val="top"/>
          </w:tcPr>
          <w:p w14:paraId="49D2A301">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sz w:val="24"/>
                <w:szCs w:val="24"/>
                <w:lang w:val="en-US" w:eastAsia="zh-CN"/>
              </w:rPr>
            </w:pPr>
          </w:p>
        </w:tc>
      </w:tr>
      <w:tr w14:paraId="1830F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63" w:type="dxa"/>
            <w:gridSpan w:val="6"/>
            <w:tcBorders>
              <w:top w:val="single" w:color="auto" w:sz="4" w:space="0"/>
              <w:left w:val="single" w:color="auto" w:sz="4" w:space="0"/>
              <w:bottom w:val="single" w:color="auto" w:sz="4" w:space="0"/>
              <w:right w:val="single" w:color="auto" w:sz="4" w:space="0"/>
            </w:tcBorders>
            <w:noWrap w:val="0"/>
            <w:vAlign w:val="top"/>
          </w:tcPr>
          <w:p w14:paraId="5F6BDDE3">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采购需求</w:t>
            </w:r>
          </w:p>
        </w:tc>
      </w:tr>
      <w:tr w14:paraId="63143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163" w:type="dxa"/>
            <w:gridSpan w:val="6"/>
            <w:tcBorders>
              <w:top w:val="single" w:color="auto" w:sz="4" w:space="0"/>
              <w:left w:val="single" w:color="auto" w:sz="4" w:space="0"/>
              <w:bottom w:val="single" w:color="auto" w:sz="4" w:space="0"/>
              <w:right w:val="single" w:color="auto" w:sz="4" w:space="0"/>
            </w:tcBorders>
            <w:noWrap w:val="0"/>
            <w:vAlign w:val="top"/>
          </w:tcPr>
          <w:p w14:paraId="1EC78A56">
            <w:pPr>
              <w:pStyle w:val="7"/>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一、项目需求及技术要求</w:t>
            </w:r>
          </w:p>
        </w:tc>
      </w:tr>
      <w:tr w14:paraId="3C789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56" w:type="dxa"/>
            <w:vMerge w:val="restart"/>
            <w:tcBorders>
              <w:top w:val="single" w:color="auto" w:sz="4" w:space="0"/>
              <w:left w:val="single" w:color="auto" w:sz="4" w:space="0"/>
              <w:right w:val="single" w:color="auto" w:sz="4" w:space="0"/>
            </w:tcBorders>
            <w:noWrap w:val="0"/>
            <w:vAlign w:val="center"/>
          </w:tcPr>
          <w:p w14:paraId="36921900">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p w14:paraId="19AE4FFE">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56" w:type="dxa"/>
            <w:vMerge w:val="restart"/>
            <w:tcBorders>
              <w:top w:val="single" w:color="auto" w:sz="4" w:space="0"/>
              <w:left w:val="single" w:color="auto" w:sz="4" w:space="0"/>
              <w:right w:val="single" w:color="auto" w:sz="4" w:space="0"/>
            </w:tcBorders>
            <w:noWrap w:val="0"/>
            <w:vAlign w:val="center"/>
          </w:tcPr>
          <w:p w14:paraId="0D3BED8B">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服务名称</w:t>
            </w:r>
          </w:p>
          <w:p w14:paraId="30CEBFA2">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变配电系统维保服务</w:t>
            </w:r>
          </w:p>
        </w:tc>
        <w:tc>
          <w:tcPr>
            <w:tcW w:w="480" w:type="dxa"/>
            <w:vMerge w:val="restart"/>
            <w:tcBorders>
              <w:top w:val="single" w:color="auto" w:sz="4" w:space="0"/>
              <w:left w:val="single" w:color="auto" w:sz="4" w:space="0"/>
              <w:right w:val="single" w:color="auto" w:sz="4" w:space="0"/>
            </w:tcBorders>
            <w:noWrap w:val="0"/>
            <w:vAlign w:val="center"/>
          </w:tcPr>
          <w:p w14:paraId="471AF2E8">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p w14:paraId="2AF2CDA1">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1年</w:t>
            </w:r>
          </w:p>
        </w:tc>
        <w:tc>
          <w:tcPr>
            <w:tcW w:w="9778" w:type="dxa"/>
            <w:tcBorders>
              <w:top w:val="single" w:color="auto" w:sz="4" w:space="0"/>
              <w:left w:val="single" w:color="auto" w:sz="4" w:space="0"/>
              <w:bottom w:val="single" w:color="auto" w:sz="4" w:space="0"/>
              <w:right w:val="single" w:color="auto" w:sz="4" w:space="0"/>
            </w:tcBorders>
            <w:noWrap w:val="0"/>
            <w:vAlign w:val="center"/>
          </w:tcPr>
          <w:p w14:paraId="4861F747">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项目需求及服务(技术)要求</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E6722CA">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b/>
                <w:bCs/>
                <w:i w:val="0"/>
                <w:iCs w:val="0"/>
                <w:color w:val="000000"/>
                <w:kern w:val="0"/>
                <w:sz w:val="21"/>
                <w:szCs w:val="21"/>
                <w:u w:val="none"/>
                <w:lang w:val="en-US" w:eastAsia="zh-CN" w:bidi="ar"/>
              </w:rPr>
              <w:t>参数是否响应（是/否）</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501B070C">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b/>
                <w:bCs/>
                <w:i w:val="0"/>
                <w:iCs w:val="0"/>
                <w:color w:val="000000"/>
                <w:kern w:val="0"/>
                <w:sz w:val="21"/>
                <w:szCs w:val="21"/>
                <w:u w:val="none"/>
                <w:lang w:val="en-US" w:eastAsia="zh-CN" w:bidi="ar"/>
              </w:rPr>
              <w:t>备注(若不符合，或有优化建议，请在此栏填写)</w:t>
            </w:r>
          </w:p>
        </w:tc>
      </w:tr>
      <w:tr w14:paraId="78194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56" w:type="dxa"/>
            <w:vMerge w:val="continue"/>
            <w:tcBorders>
              <w:left w:val="single" w:color="auto" w:sz="4" w:space="0"/>
              <w:right w:val="single" w:color="auto" w:sz="4" w:space="0"/>
            </w:tcBorders>
            <w:noWrap w:val="0"/>
            <w:vAlign w:val="center"/>
          </w:tcPr>
          <w:p w14:paraId="3D10DCC0">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456" w:type="dxa"/>
            <w:vMerge w:val="continue"/>
            <w:tcBorders>
              <w:left w:val="single" w:color="auto" w:sz="4" w:space="0"/>
              <w:right w:val="single" w:color="auto" w:sz="4" w:space="0"/>
            </w:tcBorders>
            <w:noWrap w:val="0"/>
            <w:vAlign w:val="center"/>
          </w:tcPr>
          <w:p w14:paraId="58D0794B">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480" w:type="dxa"/>
            <w:vMerge w:val="continue"/>
            <w:tcBorders>
              <w:left w:val="single" w:color="auto" w:sz="4" w:space="0"/>
              <w:right w:val="single" w:color="auto" w:sz="4" w:space="0"/>
            </w:tcBorders>
            <w:noWrap w:val="0"/>
            <w:vAlign w:val="center"/>
          </w:tcPr>
          <w:p w14:paraId="6CE076E4">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9778" w:type="dxa"/>
            <w:tcBorders>
              <w:top w:val="single" w:color="auto" w:sz="4" w:space="0"/>
              <w:left w:val="single" w:color="auto" w:sz="4" w:space="0"/>
              <w:bottom w:val="single" w:color="auto" w:sz="4" w:space="0"/>
              <w:right w:val="single" w:color="auto" w:sz="4" w:space="0"/>
            </w:tcBorders>
            <w:noWrap w:val="0"/>
            <w:vAlign w:val="center"/>
          </w:tcPr>
          <w:p w14:paraId="59F21345">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一、</w:t>
            </w:r>
            <w:r>
              <w:rPr>
                <w:rFonts w:hint="eastAsia" w:ascii="宋体" w:hAnsi="宋体" w:eastAsia="宋体" w:cs="宋体"/>
                <w:b/>
                <w:bCs/>
                <w:sz w:val="24"/>
                <w:szCs w:val="24"/>
                <w:lang w:val="en-US" w:eastAsia="zh-CN"/>
              </w:rPr>
              <w:t>项目概述</w:t>
            </w:r>
          </w:p>
          <w:p w14:paraId="45F3987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1、服务对象：广西医科大学第一附属医院。</w:t>
            </w:r>
          </w:p>
          <w:p w14:paraId="19EB927A">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内容：包含24小时值班服务及电气设备巡检服务，确保医院配电房电气设备24小时安全、稳定运行，做到及时应对各类突发电气故障，保障医院医疗工作及日常运转的电力供应。供应商提供服务应符合《医疗和疾控机构后勤安全生产工作管理指南（2023年版）》等相关法律法规、行业规范的最新标准。</w:t>
            </w:r>
          </w:p>
          <w:p w14:paraId="147792B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3、服务时间：一年。</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5C9A28C">
            <w:pPr>
              <w:keepNext w:val="0"/>
              <w:keepLines w:val="0"/>
              <w:widowControl/>
              <w:suppressLineNumbers w:val="0"/>
              <w:jc w:val="both"/>
              <w:textAlignment w:val="center"/>
              <w:rPr>
                <w:rFonts w:hint="eastAsia" w:ascii="宋体" w:hAnsi="宋体" w:eastAsia="宋体" w:cs="宋体"/>
                <w:b/>
                <w:bCs/>
                <w:i w:val="0"/>
                <w:iCs w:val="0"/>
                <w:color w:val="000000"/>
                <w:kern w:val="0"/>
                <w:sz w:val="21"/>
                <w:szCs w:val="21"/>
                <w:u w:val="none"/>
                <w:lang w:val="en-US" w:eastAsia="zh-CN" w:bidi="ar"/>
              </w:rPr>
            </w:pPr>
          </w:p>
        </w:tc>
        <w:tc>
          <w:tcPr>
            <w:tcW w:w="1682" w:type="dxa"/>
            <w:tcBorders>
              <w:top w:val="single" w:color="auto" w:sz="4" w:space="0"/>
              <w:left w:val="single" w:color="auto" w:sz="4" w:space="0"/>
              <w:bottom w:val="single" w:color="auto" w:sz="4" w:space="0"/>
              <w:right w:val="single" w:color="auto" w:sz="4" w:space="0"/>
            </w:tcBorders>
            <w:noWrap w:val="0"/>
            <w:vAlign w:val="center"/>
          </w:tcPr>
          <w:p w14:paraId="40B6AA45">
            <w:pPr>
              <w:keepNext w:val="0"/>
              <w:keepLines w:val="0"/>
              <w:widowControl/>
              <w:suppressLineNumbers w:val="0"/>
              <w:jc w:val="both"/>
              <w:textAlignment w:val="center"/>
              <w:rPr>
                <w:rFonts w:hint="eastAsia" w:ascii="宋体" w:hAnsi="宋体" w:eastAsia="宋体" w:cs="宋体"/>
                <w:b/>
                <w:bCs/>
                <w:i w:val="0"/>
                <w:iCs w:val="0"/>
                <w:color w:val="000000"/>
                <w:kern w:val="0"/>
                <w:sz w:val="21"/>
                <w:szCs w:val="21"/>
                <w:u w:val="none"/>
                <w:lang w:val="en-US" w:eastAsia="zh-CN" w:bidi="ar"/>
              </w:rPr>
            </w:pPr>
          </w:p>
        </w:tc>
      </w:tr>
      <w:tr w14:paraId="63BAD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56" w:type="dxa"/>
            <w:vMerge w:val="continue"/>
            <w:tcBorders>
              <w:left w:val="single" w:color="auto" w:sz="4" w:space="0"/>
              <w:right w:val="single" w:color="auto" w:sz="4" w:space="0"/>
            </w:tcBorders>
            <w:noWrap w:val="0"/>
            <w:vAlign w:val="center"/>
          </w:tcPr>
          <w:p w14:paraId="6FB6EF49">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456" w:type="dxa"/>
            <w:vMerge w:val="continue"/>
            <w:tcBorders>
              <w:left w:val="single" w:color="auto" w:sz="4" w:space="0"/>
              <w:right w:val="single" w:color="auto" w:sz="4" w:space="0"/>
            </w:tcBorders>
            <w:noWrap w:val="0"/>
            <w:vAlign w:val="center"/>
          </w:tcPr>
          <w:p w14:paraId="2EB4CC51">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480" w:type="dxa"/>
            <w:vMerge w:val="continue"/>
            <w:tcBorders>
              <w:left w:val="single" w:color="auto" w:sz="4" w:space="0"/>
              <w:right w:val="single" w:color="auto" w:sz="4" w:space="0"/>
            </w:tcBorders>
            <w:noWrap w:val="0"/>
            <w:vAlign w:val="center"/>
          </w:tcPr>
          <w:p w14:paraId="6C7482ED">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9778" w:type="dxa"/>
            <w:tcBorders>
              <w:top w:val="single" w:color="auto" w:sz="4" w:space="0"/>
              <w:left w:val="single" w:color="auto" w:sz="4" w:space="0"/>
              <w:bottom w:val="single" w:color="auto" w:sz="4" w:space="0"/>
              <w:right w:val="single" w:color="auto" w:sz="4" w:space="0"/>
            </w:tcBorders>
            <w:noWrap w:val="0"/>
            <w:vAlign w:val="center"/>
          </w:tcPr>
          <w:p w14:paraId="05441463">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二、人员要求</w:t>
            </w:r>
          </w:p>
          <w:p w14:paraId="67A3E17B">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人员配置：安排不少于7名专业且经验丰富的电工，确保24小时不间断值班。至少7名值班人员持有《高压电工作业》操作证、具备丰富故障处理经验以及熟悉医院电气系统。值班人员需保持通讯畅通，对采购人的要求做到立刻响应。</w:t>
            </w:r>
          </w:p>
          <w:p w14:paraId="110781CF">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2、排班方式：实行三班倒制度，早班08:00 - 16:00，中班16:00 - 00:00，晚班00:00 - 08:00。每班安排至少两名人员值班，每周日进行班次轮换，按照早班 - 中班 - 晚班 - 休息的顺序循环，保障每位电工都能合理休息并均匀承担各时段工作任务。</w:t>
            </w:r>
          </w:p>
          <w:p w14:paraId="1DF44FC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3、值班人员岗位职责：</w:t>
            </w:r>
          </w:p>
          <w:p w14:paraId="6EB34A05">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（1）主值班电工：全面负责当值期间配电房运行管理，监督副值班电工工作，审核设备巡检记录，及时协调处理突发电气故障，与医院其他部门及外部供电单位进行有效沟通联络。</w:t>
            </w:r>
          </w:p>
          <w:p w14:paraId="1DCCE455">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（2）副值班电工：协助主值班电工开展工作，按规定进行设备巡检、抄表记录，严格执行设备操作指令，维护配电房环境卫生，一旦发现异常及时报告主值班电工。</w:t>
            </w:r>
          </w:p>
          <w:p w14:paraId="4C2C6E79">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4、未经采购人书面同意，供应商不得擅自变更驻场服务人员，如因特殊原因需更换人员，应提交替换人员的资料由采购人审核，投标人保证替换人员的技术水平、资历条件不得降低。</w:t>
            </w:r>
          </w:p>
          <w:p w14:paraId="41DEC93D">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5、采购人有权对供应商的服务工作及人员进行监督管理、检查和指导，有权要求供应商对不能全面正确履行职责的人员进行批评教育和更换。</w:t>
            </w:r>
          </w:p>
          <w:p w14:paraId="09C535BC">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6、签订合同后一个月内，中标供应商应将投入该项目的实施人员名单及身份证、证书、职称等资质证明、劳动合同或劳务合同、社保缴费证明（如有）等资料复印件提交采购人备案。</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011FBB8">
            <w:pPr>
              <w:keepNext w:val="0"/>
              <w:keepLines w:val="0"/>
              <w:widowControl/>
              <w:suppressLineNumbers w:val="0"/>
              <w:jc w:val="both"/>
              <w:textAlignment w:val="center"/>
              <w:rPr>
                <w:rFonts w:hint="eastAsia" w:ascii="宋体" w:hAnsi="宋体" w:eastAsia="宋体" w:cs="宋体"/>
                <w:b/>
                <w:bCs/>
                <w:i w:val="0"/>
                <w:iCs w:val="0"/>
                <w:color w:val="000000"/>
                <w:kern w:val="0"/>
                <w:sz w:val="21"/>
                <w:szCs w:val="21"/>
                <w:u w:val="none"/>
                <w:lang w:val="en-US" w:eastAsia="zh-CN" w:bidi="ar"/>
              </w:rPr>
            </w:pPr>
          </w:p>
        </w:tc>
        <w:tc>
          <w:tcPr>
            <w:tcW w:w="1682" w:type="dxa"/>
            <w:tcBorders>
              <w:top w:val="single" w:color="auto" w:sz="4" w:space="0"/>
              <w:left w:val="single" w:color="auto" w:sz="4" w:space="0"/>
              <w:bottom w:val="single" w:color="auto" w:sz="4" w:space="0"/>
              <w:right w:val="single" w:color="auto" w:sz="4" w:space="0"/>
            </w:tcBorders>
            <w:noWrap w:val="0"/>
            <w:vAlign w:val="center"/>
          </w:tcPr>
          <w:p w14:paraId="2EAE1551">
            <w:pPr>
              <w:keepNext w:val="0"/>
              <w:keepLines w:val="0"/>
              <w:widowControl/>
              <w:suppressLineNumbers w:val="0"/>
              <w:jc w:val="both"/>
              <w:textAlignment w:val="center"/>
              <w:rPr>
                <w:rFonts w:hint="eastAsia" w:ascii="宋体" w:hAnsi="宋体" w:eastAsia="宋体" w:cs="宋体"/>
                <w:b/>
                <w:bCs/>
                <w:i w:val="0"/>
                <w:iCs w:val="0"/>
                <w:color w:val="000000"/>
                <w:kern w:val="0"/>
                <w:sz w:val="21"/>
                <w:szCs w:val="21"/>
                <w:u w:val="none"/>
                <w:lang w:val="en-US" w:eastAsia="zh-CN" w:bidi="ar"/>
              </w:rPr>
            </w:pPr>
          </w:p>
        </w:tc>
      </w:tr>
      <w:tr w14:paraId="6199C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6" w:type="dxa"/>
            <w:vMerge w:val="continue"/>
            <w:tcBorders>
              <w:left w:val="single" w:color="auto" w:sz="4" w:space="0"/>
              <w:right w:val="single" w:color="auto" w:sz="4" w:space="0"/>
            </w:tcBorders>
            <w:noWrap w:val="0"/>
            <w:vAlign w:val="center"/>
          </w:tcPr>
          <w:p w14:paraId="4A4EFA5D">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p>
        </w:tc>
        <w:tc>
          <w:tcPr>
            <w:tcW w:w="456" w:type="dxa"/>
            <w:vMerge w:val="continue"/>
            <w:tcBorders>
              <w:left w:val="single" w:color="auto" w:sz="4" w:space="0"/>
              <w:right w:val="single" w:color="auto" w:sz="4" w:space="0"/>
            </w:tcBorders>
            <w:noWrap w:val="0"/>
            <w:vAlign w:val="center"/>
          </w:tcPr>
          <w:p w14:paraId="2035CBF3">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480" w:type="dxa"/>
            <w:vMerge w:val="continue"/>
            <w:tcBorders>
              <w:left w:val="single" w:color="auto" w:sz="4" w:space="0"/>
              <w:right w:val="single" w:color="auto" w:sz="4" w:space="0"/>
            </w:tcBorders>
            <w:noWrap w:val="0"/>
            <w:vAlign w:val="center"/>
          </w:tcPr>
          <w:p w14:paraId="22672BE2">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p>
        </w:tc>
        <w:tc>
          <w:tcPr>
            <w:tcW w:w="9778" w:type="dxa"/>
            <w:tcBorders>
              <w:top w:val="single" w:color="auto" w:sz="4" w:space="0"/>
              <w:left w:val="single" w:color="auto" w:sz="4" w:space="0"/>
              <w:bottom w:val="single" w:color="auto" w:sz="4" w:space="0"/>
              <w:right w:val="single" w:color="auto" w:sz="4" w:space="0"/>
            </w:tcBorders>
            <w:noWrap w:val="0"/>
            <w:vAlign w:val="center"/>
          </w:tcPr>
          <w:p w14:paraId="4EFCCD9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三、电气设备巡检服务要求</w:t>
            </w:r>
          </w:p>
          <w:p w14:paraId="02A2A716">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1、设备巡检要求：</w:t>
            </w:r>
          </w:p>
          <w:p w14:paraId="6050B7B0">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（1）早班：08:30 - 09:30进行全面设备巡检，包括高低压开关柜、变压器、直流屏等，记录设备运行参数，如电压、电流、温度等。</w:t>
            </w:r>
          </w:p>
          <w:p w14:paraId="3D760D09">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（2）中班：16:30 - 17:30对重点设备（如：变压器）再次巡检，查看运行状况有无变化。</w:t>
            </w:r>
          </w:p>
          <w:p w14:paraId="0AB351BE">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（3）晚班：02:00 - 03:00进行夜间巡检，重点检查设备有无异常声响、异味、放电等情况。</w:t>
            </w:r>
          </w:p>
          <w:p w14:paraId="64DE09EA">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2、具体巡检内容：</w:t>
            </w:r>
          </w:p>
          <w:tbl>
            <w:tblPr>
              <w:tblStyle w:val="13"/>
              <w:tblW w:w="4999"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7498"/>
            </w:tblGrid>
            <w:tr w14:paraId="400C5D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66" w:type="pct"/>
                  <w:tcBorders>
                    <w:tl2br w:val="nil"/>
                    <w:tr2bl w:val="nil"/>
                  </w:tcBorders>
                  <w:vAlign w:val="center"/>
                </w:tcPr>
                <w:p w14:paraId="66B911A4">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lang w:eastAsia="zh-CN"/>
                    </w:rPr>
                  </w:pPr>
                  <w:r>
                    <w:rPr>
                      <w:rFonts w:hint="eastAsia" w:ascii="宋体" w:hAnsi="宋体" w:eastAsia="宋体" w:cs="宋体"/>
                      <w:i w:val="0"/>
                      <w:iCs w:val="0"/>
                      <w:sz w:val="24"/>
                      <w:szCs w:val="24"/>
                      <w:highlight w:val="none"/>
                      <w:vertAlign w:val="baseline"/>
                      <w:lang w:eastAsia="zh-CN"/>
                    </w:rPr>
                    <w:t>设备名称</w:t>
                  </w:r>
                </w:p>
              </w:tc>
              <w:tc>
                <w:tcPr>
                  <w:tcW w:w="3933" w:type="pct"/>
                  <w:tcBorders>
                    <w:tl2br w:val="nil"/>
                    <w:tr2bl w:val="nil"/>
                  </w:tcBorders>
                  <w:vAlign w:val="center"/>
                </w:tcPr>
                <w:p w14:paraId="4F38BA8C">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b/>
                      <w:bCs/>
                      <w:i w:val="0"/>
                      <w:iCs w:val="0"/>
                      <w:sz w:val="24"/>
                      <w:szCs w:val="24"/>
                      <w:highlight w:val="none"/>
                      <w:vertAlign w:val="baseline"/>
                      <w:lang w:eastAsia="zh-CN"/>
                    </w:rPr>
                  </w:pPr>
                  <w:r>
                    <w:rPr>
                      <w:rFonts w:hint="eastAsia" w:ascii="宋体" w:hAnsi="宋体" w:eastAsia="宋体" w:cs="宋体"/>
                      <w:b/>
                      <w:bCs/>
                      <w:i w:val="0"/>
                      <w:iCs w:val="0"/>
                      <w:sz w:val="24"/>
                      <w:szCs w:val="24"/>
                      <w:highlight w:val="none"/>
                      <w:vertAlign w:val="baseline"/>
                      <w:lang w:eastAsia="zh-CN"/>
                    </w:rPr>
                    <w:t>巡检内容</w:t>
                  </w:r>
                </w:p>
              </w:tc>
            </w:tr>
            <w:tr w14:paraId="7DB903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66" w:type="pct"/>
                  <w:vMerge w:val="restart"/>
                  <w:tcBorders>
                    <w:tl2br w:val="nil"/>
                    <w:tr2bl w:val="nil"/>
                  </w:tcBorders>
                  <w:vAlign w:val="center"/>
                </w:tcPr>
                <w:p w14:paraId="00C3CF68">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干式变压器</w:t>
                  </w:r>
                </w:p>
              </w:tc>
              <w:tc>
                <w:tcPr>
                  <w:tcW w:w="3933" w:type="pct"/>
                  <w:tcBorders>
                    <w:tl2br w:val="nil"/>
                    <w:tr2bl w:val="nil"/>
                  </w:tcBorders>
                  <w:vAlign w:val="center"/>
                </w:tcPr>
                <w:p w14:paraId="001FE7E0">
                  <w:pPr>
                    <w:keepNext w:val="0"/>
                    <w:keepLines w:val="0"/>
                    <w:pageBreakBefore w:val="0"/>
                    <w:widowControl w:val="0"/>
                    <w:kinsoku/>
                    <w:wordWrap/>
                    <w:overflowPunct/>
                    <w:topLinePunct w:val="0"/>
                    <w:autoSpaceDE/>
                    <w:autoSpaceDN/>
                    <w:bidi w:val="0"/>
                    <w:adjustRightInd/>
                    <w:spacing w:line="360" w:lineRule="auto"/>
                    <w:jc w:val="left"/>
                    <w:rPr>
                      <w:rFonts w:hint="eastAsia" w:ascii="宋体" w:hAnsi="宋体" w:eastAsia="宋体" w:cs="宋体"/>
                      <w:i w:val="0"/>
                      <w:iCs w:val="0"/>
                      <w:sz w:val="24"/>
                      <w:szCs w:val="24"/>
                      <w:highlight w:val="none"/>
                      <w:vertAlign w:val="baseline"/>
                      <w:lang w:val="en-US" w:eastAsia="zh-CN"/>
                    </w:rPr>
                  </w:pPr>
                  <w:r>
                    <w:rPr>
                      <w:rFonts w:hint="eastAsia" w:ascii="宋体" w:hAnsi="宋体" w:eastAsia="宋体" w:cs="宋体"/>
                      <w:i w:val="0"/>
                      <w:iCs w:val="0"/>
                      <w:sz w:val="24"/>
                      <w:szCs w:val="24"/>
                      <w:highlight w:val="none"/>
                      <w:vertAlign w:val="baseline"/>
                      <w:lang w:val="en-US" w:eastAsia="zh-CN"/>
                    </w:rPr>
                    <w:t>1.</w:t>
                  </w:r>
                  <w:r>
                    <w:rPr>
                      <w:rFonts w:hint="eastAsia" w:ascii="宋体" w:hAnsi="宋体" w:eastAsia="宋体" w:cs="宋体"/>
                      <w:color w:val="auto"/>
                      <w:sz w:val="24"/>
                      <w:szCs w:val="24"/>
                      <w:highlight w:val="none"/>
                    </w:rPr>
                    <w:t>外观检查变压器有无积尘、绕组绝缘有无破裂、支柱绝缘子有无破裂。</w:t>
                  </w:r>
                </w:p>
              </w:tc>
            </w:tr>
            <w:tr w14:paraId="6ECDBF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66" w:type="pct"/>
                  <w:vMerge w:val="continue"/>
                  <w:tcBorders>
                    <w:tl2br w:val="nil"/>
                    <w:tr2bl w:val="nil"/>
                  </w:tcBorders>
                  <w:vAlign w:val="center"/>
                </w:tcPr>
                <w:p w14:paraId="7996DB1D">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4A80A27C">
                  <w:pPr>
                    <w:keepNext w:val="0"/>
                    <w:keepLines w:val="0"/>
                    <w:pageBreakBefore w:val="0"/>
                    <w:widowControl w:val="0"/>
                    <w:kinsoku/>
                    <w:wordWrap/>
                    <w:overflowPunct/>
                    <w:topLinePunct w:val="0"/>
                    <w:autoSpaceDE/>
                    <w:autoSpaceDN/>
                    <w:bidi w:val="0"/>
                    <w:adjustRightInd/>
                    <w:spacing w:line="360" w:lineRule="auto"/>
                    <w:jc w:val="left"/>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变压器负荷监测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变压器三相电流、电压是否平衡、是否超额定负荷。</w:t>
                  </w:r>
                </w:p>
              </w:tc>
            </w:tr>
            <w:tr w14:paraId="0E85EB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66" w:type="pct"/>
                  <w:vMerge w:val="continue"/>
                  <w:tcBorders>
                    <w:tl2br w:val="nil"/>
                    <w:tr2bl w:val="nil"/>
                  </w:tcBorders>
                  <w:vAlign w:val="center"/>
                </w:tcPr>
                <w:p w14:paraId="00483BB8">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55D26A71">
                  <w:pPr>
                    <w:keepNext w:val="0"/>
                    <w:keepLines w:val="0"/>
                    <w:pageBreakBefore w:val="0"/>
                    <w:widowControl w:val="0"/>
                    <w:kinsoku/>
                    <w:wordWrap/>
                    <w:overflowPunct/>
                    <w:topLinePunct w:val="0"/>
                    <w:autoSpaceDE/>
                    <w:autoSpaceDN/>
                    <w:bidi w:val="0"/>
                    <w:adjustRightInd/>
                    <w:spacing w:line="360" w:lineRule="auto"/>
                    <w:jc w:val="left"/>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高、低压接线柱有无安装绝缘护套、测温仪检测接点有无发热现象。</w:t>
                  </w:r>
                </w:p>
              </w:tc>
            </w:tr>
            <w:tr w14:paraId="1B3A33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continue"/>
                  <w:tcBorders>
                    <w:tl2br w:val="nil"/>
                    <w:tr2bl w:val="nil"/>
                  </w:tcBorders>
                  <w:vAlign w:val="center"/>
                </w:tcPr>
                <w:p w14:paraId="770322EA">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32586871">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lang w:val="en-US" w:eastAsia="zh-CN"/>
                    </w:rPr>
                    <w:t>4.</w:t>
                  </w:r>
                  <w:r>
                    <w:rPr>
                      <w:rFonts w:hint="eastAsia" w:ascii="宋体" w:hAnsi="宋体" w:eastAsia="宋体" w:cs="宋体"/>
                      <w:color w:val="auto"/>
                      <w:sz w:val="24"/>
                      <w:szCs w:val="24"/>
                      <w:highlight w:val="none"/>
                    </w:rPr>
                    <w:t>变压器运行声音</w:t>
                  </w:r>
                  <w:r>
                    <w:rPr>
                      <w:rFonts w:hint="eastAsia" w:ascii="宋体" w:hAnsi="宋体" w:eastAsia="宋体" w:cs="宋体"/>
                      <w:color w:val="auto"/>
                      <w:sz w:val="24"/>
                      <w:szCs w:val="24"/>
                      <w:highlight w:val="none"/>
                      <w:lang w:eastAsia="zh-CN"/>
                    </w:rPr>
                    <w:t>有无异响。</w:t>
                  </w:r>
                </w:p>
              </w:tc>
            </w:tr>
            <w:tr w14:paraId="4FBEBE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continue"/>
                  <w:tcBorders>
                    <w:tl2br w:val="nil"/>
                    <w:tr2bl w:val="nil"/>
                  </w:tcBorders>
                  <w:vAlign w:val="center"/>
                </w:tcPr>
                <w:p w14:paraId="65156E53">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44FD0C45">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lang w:val="en-US" w:eastAsia="zh-CN"/>
                    </w:rPr>
                    <w:t>5.用</w:t>
                  </w:r>
                  <w:r>
                    <w:rPr>
                      <w:rFonts w:hint="eastAsia" w:ascii="宋体" w:hAnsi="宋体" w:eastAsia="宋体" w:cs="宋体"/>
                      <w:color w:val="auto"/>
                      <w:sz w:val="24"/>
                      <w:szCs w:val="24"/>
                      <w:highlight w:val="none"/>
                    </w:rPr>
                    <w:t>专业仪器检测</w:t>
                  </w:r>
                  <w:r>
                    <w:rPr>
                      <w:rFonts w:hint="eastAsia" w:ascii="宋体" w:hAnsi="宋体" w:eastAsia="宋体" w:cs="宋体"/>
                      <w:color w:val="auto"/>
                      <w:sz w:val="24"/>
                      <w:szCs w:val="24"/>
                      <w:highlight w:val="none"/>
                      <w:lang w:eastAsia="zh-CN"/>
                    </w:rPr>
                    <w:t>变压器</w:t>
                  </w:r>
                  <w:r>
                    <w:rPr>
                      <w:rFonts w:hint="eastAsia" w:ascii="宋体" w:hAnsi="宋体" w:eastAsia="宋体" w:cs="宋体"/>
                      <w:color w:val="auto"/>
                      <w:sz w:val="24"/>
                      <w:szCs w:val="24"/>
                      <w:highlight w:val="none"/>
                    </w:rPr>
                    <w:t>铁芯温度（铁芯温度＜120℃）。</w:t>
                  </w:r>
                </w:p>
              </w:tc>
            </w:tr>
            <w:tr w14:paraId="472350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66" w:type="pct"/>
                  <w:vMerge w:val="continue"/>
                  <w:tcBorders>
                    <w:tl2br w:val="nil"/>
                    <w:tr2bl w:val="nil"/>
                  </w:tcBorders>
                  <w:vAlign w:val="center"/>
                </w:tcPr>
                <w:p w14:paraId="102C9E85">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373302D2">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lang w:val="en-US" w:eastAsia="zh-CN"/>
                    </w:rPr>
                    <w:t>6.</w:t>
                  </w:r>
                  <w:r>
                    <w:rPr>
                      <w:rFonts w:hint="eastAsia" w:ascii="宋体" w:hAnsi="宋体" w:eastAsia="宋体" w:cs="宋体"/>
                      <w:color w:val="auto"/>
                      <w:sz w:val="24"/>
                      <w:szCs w:val="24"/>
                      <w:highlight w:val="none"/>
                    </w:rPr>
                    <w:t>变压器温控仪运行是否正常，温度显示是否正确。</w:t>
                  </w:r>
                </w:p>
              </w:tc>
            </w:tr>
            <w:tr w14:paraId="13CA90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66" w:type="pct"/>
                  <w:vMerge w:val="continue"/>
                  <w:tcBorders>
                    <w:tl2br w:val="nil"/>
                    <w:tr2bl w:val="nil"/>
                  </w:tcBorders>
                  <w:vAlign w:val="center"/>
                </w:tcPr>
                <w:p w14:paraId="7019A61B">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634067CD">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sz w:val="24"/>
                      <w:szCs w:val="24"/>
                      <w:highlight w:val="none"/>
                      <w:vertAlign w:val="baseline"/>
                      <w:lang w:val="en-US" w:eastAsia="zh-CN"/>
                    </w:rPr>
                  </w:pPr>
                  <w:r>
                    <w:rPr>
                      <w:rFonts w:hint="eastAsia" w:ascii="宋体" w:hAnsi="宋体" w:eastAsia="宋体" w:cs="宋体"/>
                      <w:i w:val="0"/>
                      <w:iCs w:val="0"/>
                      <w:sz w:val="24"/>
                      <w:szCs w:val="24"/>
                      <w:highlight w:val="none"/>
                      <w:vertAlign w:val="baseline"/>
                      <w:lang w:val="en-US" w:eastAsia="zh-CN"/>
                    </w:rPr>
                    <w:t>7.</w:t>
                  </w:r>
                  <w:r>
                    <w:rPr>
                      <w:rFonts w:hint="eastAsia" w:ascii="宋体" w:hAnsi="宋体" w:eastAsia="宋体" w:cs="宋体"/>
                      <w:color w:val="auto"/>
                      <w:sz w:val="24"/>
                      <w:szCs w:val="24"/>
                      <w:highlight w:val="none"/>
                    </w:rPr>
                    <w:t>变压器散热风机启动及运行是否正常，有无碰壳现象。</w:t>
                  </w:r>
                </w:p>
              </w:tc>
            </w:tr>
            <w:tr w14:paraId="0F826F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restart"/>
                  <w:tcBorders>
                    <w:tl2br w:val="nil"/>
                    <w:tr2bl w:val="nil"/>
                  </w:tcBorders>
                  <w:vAlign w:val="center"/>
                </w:tcPr>
                <w:p w14:paraId="55C2A4BE">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油浸式变压器</w:t>
                  </w:r>
                </w:p>
              </w:tc>
              <w:tc>
                <w:tcPr>
                  <w:tcW w:w="3933" w:type="pct"/>
                  <w:tcBorders>
                    <w:tl2br w:val="nil"/>
                    <w:tr2bl w:val="nil"/>
                  </w:tcBorders>
                  <w:vAlign w:val="center"/>
                </w:tcPr>
                <w:p w14:paraId="7CA275AA">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1.外观检查有无积尘、树枝、藤蔓、杂草等异物靠近，高低压套管有无破裂、渗油。</w:t>
                  </w:r>
                </w:p>
              </w:tc>
            </w:tr>
            <w:tr w14:paraId="5BC069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continue"/>
                  <w:tcBorders>
                    <w:tl2br w:val="nil"/>
                    <w:tr2bl w:val="nil"/>
                  </w:tcBorders>
                  <w:vAlign w:val="center"/>
                </w:tcPr>
                <w:p w14:paraId="59A33B9C">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261AFB99">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2.变压器负荷监测变压器三相电流，电压是否平衡，是否超额定负荷、</w:t>
                  </w:r>
                </w:p>
              </w:tc>
            </w:tr>
            <w:tr w14:paraId="3D615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continue"/>
                  <w:tcBorders>
                    <w:tl2br w:val="nil"/>
                    <w:tr2bl w:val="nil"/>
                  </w:tcBorders>
                  <w:vAlign w:val="center"/>
                </w:tcPr>
                <w:p w14:paraId="377F93C3">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337D8E70">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3.高、低压接线柱有无安装绝缘护套，测温仪检测接点有无发热现象。</w:t>
                  </w:r>
                </w:p>
              </w:tc>
            </w:tr>
            <w:tr w14:paraId="7A9E5E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continue"/>
                  <w:tcBorders>
                    <w:tl2br w:val="nil"/>
                    <w:tr2bl w:val="nil"/>
                  </w:tcBorders>
                  <w:vAlign w:val="center"/>
                </w:tcPr>
                <w:p w14:paraId="4833A0E8">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38229230">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4.观察呼吸器有无变色。</w:t>
                  </w:r>
                </w:p>
              </w:tc>
            </w:tr>
            <w:tr w14:paraId="4BDD39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continue"/>
                  <w:tcBorders>
                    <w:tl2br w:val="nil"/>
                    <w:tr2bl w:val="nil"/>
                  </w:tcBorders>
                  <w:vAlign w:val="center"/>
                </w:tcPr>
                <w:p w14:paraId="1BE45908">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739D16CB">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5.观察胶珠、密封胶垫有无破损、老化、渗油。</w:t>
                  </w:r>
                </w:p>
              </w:tc>
            </w:tr>
            <w:tr w14:paraId="0AAACA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continue"/>
                  <w:tcBorders>
                    <w:tl2br w:val="nil"/>
                    <w:tr2bl w:val="nil"/>
                  </w:tcBorders>
                  <w:vAlign w:val="center"/>
                </w:tcPr>
                <w:p w14:paraId="57BB8AB6">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0FC9271B">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6.用专业仪器检测油面温度（顶层油温＜85℃）</w:t>
                  </w:r>
                </w:p>
              </w:tc>
            </w:tr>
            <w:tr w14:paraId="15668A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continue"/>
                  <w:tcBorders>
                    <w:tl2br w:val="nil"/>
                    <w:tr2bl w:val="nil"/>
                  </w:tcBorders>
                  <w:vAlign w:val="center"/>
                </w:tcPr>
                <w:p w14:paraId="3997B569">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2555C8A8">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sz w:val="24"/>
                      <w:szCs w:val="24"/>
                      <w:highlight w:val="none"/>
                      <w:vertAlign w:val="baseline"/>
                    </w:rPr>
                  </w:pPr>
                  <w:r>
                    <w:rPr>
                      <w:rFonts w:hint="eastAsia" w:ascii="宋体" w:hAnsi="宋体" w:eastAsia="宋体" w:cs="宋体"/>
                      <w:i w:val="0"/>
                      <w:iCs w:val="0"/>
                      <w:color w:val="000000"/>
                      <w:kern w:val="0"/>
                      <w:sz w:val="24"/>
                      <w:szCs w:val="24"/>
                      <w:u w:val="none"/>
                      <w:lang w:val="en-US" w:eastAsia="zh-CN" w:bidi="ar"/>
                    </w:rPr>
                    <w:t>7.油位观察有无缺油现象。</w:t>
                  </w:r>
                </w:p>
              </w:tc>
            </w:tr>
            <w:tr w14:paraId="5D9269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continue"/>
                  <w:tcBorders>
                    <w:tl2br w:val="nil"/>
                    <w:tr2bl w:val="nil"/>
                  </w:tcBorders>
                  <w:vAlign w:val="center"/>
                </w:tcPr>
                <w:p w14:paraId="76C5402E">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2E36B33F">
                  <w:pPr>
                    <w:keepNext w:val="0"/>
                    <w:keepLines w:val="0"/>
                    <w:pageBreakBefore w:val="0"/>
                    <w:widowControl/>
                    <w:suppressLineNumbers w:val="0"/>
                    <w:kinsoku/>
                    <w:wordWrap/>
                    <w:overflowPunct/>
                    <w:topLinePunct w:val="0"/>
                    <w:autoSpaceDE/>
                    <w:autoSpaceDN/>
                    <w:bidi w:val="0"/>
                    <w:adjustRightInd/>
                    <w:spacing w:line="360" w:lineRule="auto"/>
                    <w:jc w:val="left"/>
                    <w:textAlignment w:val="center"/>
                    <w:rPr>
                      <w:rFonts w:hint="eastAsia" w:ascii="宋体" w:hAnsi="宋体" w:eastAsia="宋体" w:cs="宋体"/>
                      <w:i w:val="0"/>
                      <w:iCs w:val="0"/>
                      <w:sz w:val="24"/>
                      <w:szCs w:val="24"/>
                      <w:highlight w:val="none"/>
                      <w:vertAlign w:val="baseline"/>
                    </w:rPr>
                  </w:pPr>
                  <w:r>
                    <w:rPr>
                      <w:rFonts w:hint="eastAsia" w:ascii="宋体" w:hAnsi="宋体" w:eastAsia="宋体" w:cs="宋体"/>
                      <w:i w:val="0"/>
                      <w:iCs w:val="0"/>
                      <w:color w:val="000000"/>
                      <w:kern w:val="0"/>
                      <w:sz w:val="24"/>
                      <w:szCs w:val="24"/>
                      <w:u w:val="none"/>
                      <w:lang w:val="en-US" w:eastAsia="zh-CN" w:bidi="ar"/>
                    </w:rPr>
                    <w:t>8.变压器运行声音有无异响。</w:t>
                  </w:r>
                </w:p>
              </w:tc>
            </w:tr>
            <w:tr w14:paraId="21F2E2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tcBorders>
                    <w:tl2br w:val="nil"/>
                    <w:tr2bl w:val="nil"/>
                  </w:tcBorders>
                  <w:vAlign w:val="center"/>
                </w:tcPr>
                <w:p w14:paraId="5184E9C3">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高压柜</w:t>
                  </w:r>
                </w:p>
              </w:tc>
              <w:tc>
                <w:tcPr>
                  <w:tcW w:w="3933" w:type="pct"/>
                  <w:tcBorders>
                    <w:tl2br w:val="nil"/>
                    <w:tr2bl w:val="nil"/>
                  </w:tcBorders>
                  <w:vAlign w:val="center"/>
                </w:tcPr>
                <w:p w14:paraId="133E8993">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检查开关分、合闸操作是否正常，开关机械传动部加润滑油。检查一、二次接线有无烧坏，绝缘部位有无放电痕迹。检查指示灯、仪表是否正常。封堵柜内孔洞。检查柜门、锁有无损坏，柜门开、闭是否正常。清扫柜内有无积尘、蜘蛛网。</w:t>
                  </w:r>
                </w:p>
              </w:tc>
            </w:tr>
            <w:tr w14:paraId="7672EA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66" w:type="pct"/>
                  <w:tcBorders>
                    <w:tl2br w:val="nil"/>
                    <w:tr2bl w:val="nil"/>
                  </w:tcBorders>
                  <w:vAlign w:val="center"/>
                </w:tcPr>
                <w:p w14:paraId="448321FC">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低压柜</w:t>
                  </w:r>
                </w:p>
              </w:tc>
              <w:tc>
                <w:tcPr>
                  <w:tcW w:w="3933" w:type="pct"/>
                  <w:tcBorders>
                    <w:tl2br w:val="nil"/>
                    <w:tr2bl w:val="nil"/>
                  </w:tcBorders>
                  <w:vAlign w:val="center"/>
                </w:tcPr>
                <w:p w14:paraId="0DB5E1FB">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检查刀开关、断路器分、合闸操作是否正常，开关机械传动部加润滑油。检查一、二次接线有无烧坏，绝缘部位有无放电痕迹。检查指示灯、仪表是否正常。封堵柜内孔洞。检查柜门、锁有无损坏，柜门开、闭是否正常。</w:t>
                  </w:r>
                </w:p>
              </w:tc>
            </w:tr>
            <w:tr w14:paraId="6648E5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restart"/>
                  <w:tcBorders>
                    <w:tl2br w:val="nil"/>
                    <w:tr2bl w:val="nil"/>
                  </w:tcBorders>
                  <w:vAlign w:val="center"/>
                </w:tcPr>
                <w:p w14:paraId="7697C97A">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电力电缆</w:t>
                  </w:r>
                </w:p>
              </w:tc>
              <w:tc>
                <w:tcPr>
                  <w:tcW w:w="3933" w:type="pct"/>
                  <w:tcBorders>
                    <w:tl2br w:val="nil"/>
                    <w:tr2bl w:val="nil"/>
                  </w:tcBorders>
                  <w:vAlign w:val="center"/>
                </w:tcPr>
                <w:p w14:paraId="6A49F611">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1、电缆终端头的连接点有无过热变色。</w:t>
                  </w:r>
                </w:p>
              </w:tc>
            </w:tr>
            <w:tr w14:paraId="239A62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66" w:type="pct"/>
                  <w:vMerge w:val="continue"/>
                  <w:tcBorders>
                    <w:tl2br w:val="nil"/>
                    <w:tr2bl w:val="nil"/>
                  </w:tcBorders>
                  <w:vAlign w:val="center"/>
                </w:tcPr>
                <w:p w14:paraId="268669ED">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77EDECA2">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2、油浸纸绝缘电力电缆及终端头有无渗、漏油现象。</w:t>
                  </w:r>
                </w:p>
              </w:tc>
            </w:tr>
            <w:tr w14:paraId="500B16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66" w:type="pct"/>
                  <w:vMerge w:val="continue"/>
                  <w:tcBorders>
                    <w:tl2br w:val="nil"/>
                    <w:tr2bl w:val="nil"/>
                  </w:tcBorders>
                  <w:vAlign w:val="center"/>
                </w:tcPr>
                <w:p w14:paraId="20ED9D3F">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16794073">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3、并联使用的电缆的无因负荷分配不均而导致某根电缆过热。</w:t>
                  </w:r>
                </w:p>
              </w:tc>
            </w:tr>
            <w:tr w14:paraId="1AB989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66" w:type="pct"/>
                  <w:vMerge w:val="continue"/>
                  <w:tcBorders>
                    <w:tl2br w:val="nil"/>
                    <w:tr2bl w:val="nil"/>
                  </w:tcBorders>
                  <w:vAlign w:val="center"/>
                </w:tcPr>
                <w:p w14:paraId="27854A72">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38B372AE">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4、有无打火、放电声响及异常气味。</w:t>
                  </w:r>
                </w:p>
              </w:tc>
            </w:tr>
            <w:tr w14:paraId="4CE5D6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66" w:type="pct"/>
                  <w:vMerge w:val="continue"/>
                  <w:tcBorders>
                    <w:tl2br w:val="nil"/>
                    <w:tr2bl w:val="nil"/>
                  </w:tcBorders>
                  <w:vAlign w:val="center"/>
                </w:tcPr>
                <w:p w14:paraId="09D88A1B">
                  <w:pPr>
                    <w:keepNext w:val="0"/>
                    <w:keepLines w:val="0"/>
                    <w:pageBreakBefore w:val="0"/>
                    <w:widowControl w:val="0"/>
                    <w:kinsoku/>
                    <w:wordWrap/>
                    <w:overflowPunct/>
                    <w:topLinePunct w:val="0"/>
                    <w:autoSpaceDE/>
                    <w:autoSpaceDN/>
                    <w:bidi w:val="0"/>
                    <w:adjustRightInd/>
                    <w:spacing w:line="360" w:lineRule="auto"/>
                    <w:jc w:val="center"/>
                    <w:rPr>
                      <w:rFonts w:hint="eastAsia" w:ascii="宋体" w:hAnsi="宋体" w:eastAsia="宋体" w:cs="宋体"/>
                      <w:i w:val="0"/>
                      <w:iCs w:val="0"/>
                      <w:sz w:val="24"/>
                      <w:szCs w:val="24"/>
                      <w:highlight w:val="none"/>
                      <w:vertAlign w:val="baseline"/>
                    </w:rPr>
                  </w:pPr>
                </w:p>
              </w:tc>
              <w:tc>
                <w:tcPr>
                  <w:tcW w:w="3933" w:type="pct"/>
                  <w:tcBorders>
                    <w:tl2br w:val="nil"/>
                    <w:tr2bl w:val="nil"/>
                  </w:tcBorders>
                  <w:vAlign w:val="center"/>
                </w:tcPr>
                <w:p w14:paraId="4E9B54DE">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i w:val="0"/>
                      <w:iCs w:val="0"/>
                      <w:kern w:val="2"/>
                      <w:sz w:val="24"/>
                      <w:szCs w:val="24"/>
                      <w:highlight w:val="none"/>
                      <w:vertAlign w:val="baseline"/>
                      <w:lang w:val="en-US" w:eastAsia="zh-CN" w:bidi="ar-SA"/>
                    </w:rPr>
                  </w:pPr>
                  <w:r>
                    <w:rPr>
                      <w:rFonts w:hint="eastAsia" w:ascii="宋体" w:hAnsi="宋体" w:eastAsia="宋体" w:cs="宋体"/>
                      <w:i w:val="0"/>
                      <w:iCs w:val="0"/>
                      <w:sz w:val="24"/>
                      <w:szCs w:val="24"/>
                      <w:highlight w:val="none"/>
                      <w:vertAlign w:val="baseline"/>
                    </w:rPr>
                    <w:t>5、终端接地线有无异常。</w:t>
                  </w:r>
                </w:p>
              </w:tc>
            </w:tr>
          </w:tbl>
          <w:p w14:paraId="3C1E6523">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3、故障处理 ：</w:t>
            </w:r>
          </w:p>
          <w:p w14:paraId="705D3328">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（1）发现设备故障或接到故障报警后，主值班电工立即组织人员进行故障排查，判断故障原因和影响范围。服务人员</w:t>
            </w:r>
            <w:r>
              <w:rPr>
                <w:rFonts w:hint="eastAsia" w:ascii="宋体" w:hAnsi="宋体" w:eastAsia="宋体" w:cs="宋体"/>
                <w:b w:val="0"/>
                <w:bCs w:val="0"/>
                <w:sz w:val="24"/>
                <w:szCs w:val="24"/>
                <w:lang w:val="en-US" w:eastAsia="zh-CN"/>
              </w:rPr>
              <w:t>应在10分钟内到达现场进行处理，如服务人员未按约定时间到达现场并解决故障，影响了采购人的正常医疗秩序或导致其他不良影响，投标人应赔偿因此给采购人造成的全部损失。损失额从服务费中扣除。</w:t>
            </w:r>
          </w:p>
          <w:p w14:paraId="6E014F79">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（2）对于一般故障(不需拆卸或更换设备和配件），当场组织修复（一般故障处理时间不超过</w:t>
            </w:r>
            <w:r>
              <w:rPr>
                <w:rFonts w:hint="eastAsia" w:ascii="宋体" w:hAnsi="宋体" w:cs="宋体"/>
                <w:sz w:val="24"/>
                <w:szCs w:val="24"/>
                <w:lang w:val="en-US" w:eastAsia="zh-CN"/>
              </w:rPr>
              <w:t>30分钟</w:t>
            </w:r>
            <w:r>
              <w:rPr>
                <w:rFonts w:hint="eastAsia" w:ascii="宋体" w:hAnsi="宋体" w:eastAsia="宋体" w:cs="宋体"/>
                <w:sz w:val="24"/>
                <w:szCs w:val="24"/>
                <w:lang w:val="en-US" w:eastAsia="zh-CN"/>
              </w:rPr>
              <w:t>）。</w:t>
            </w:r>
          </w:p>
          <w:p w14:paraId="7E2E88F6">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sz w:val="24"/>
                <w:szCs w:val="24"/>
                <w:lang w:val="en-US" w:eastAsia="zh-CN"/>
              </w:rPr>
              <w:t>（3）对于复杂或较大故障（设备重要配件损坏或需更换设备），及时采取停电、隔离等安全措施，防止故障扩大，并迅速报告医院后勤管理部门及相关领导，安排专业维修人员协助处理（复杂或较大故障处理时间3-5个工作日）。如出现复杂或较大故障，供应商必须提供应急措施，且2小时内向采购人提供维修方案，确保以最快速度进行处理确保设备正常启动。</w:t>
            </w:r>
          </w:p>
          <w:p w14:paraId="1F6E581F">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b w:val="0"/>
                <w:bCs w:val="0"/>
                <w:sz w:val="24"/>
                <w:szCs w:val="24"/>
                <w:lang w:val="en-US" w:eastAsia="zh-CN"/>
              </w:rPr>
              <w:t>如需对设备</w:t>
            </w:r>
            <w:r>
              <w:rPr>
                <w:rFonts w:hint="eastAsia" w:ascii="宋体" w:hAnsi="宋体" w:eastAsia="宋体" w:cs="宋体"/>
                <w:b w:val="0"/>
                <w:bCs w:val="0"/>
                <w:kern w:val="2"/>
                <w:sz w:val="24"/>
                <w:szCs w:val="24"/>
                <w:lang w:val="en-US" w:eastAsia="zh-CN" w:bidi="ar-SA"/>
              </w:rPr>
              <w:t>零配件进行更换的，</w:t>
            </w:r>
            <w:r>
              <w:rPr>
                <w:rFonts w:hint="eastAsia" w:ascii="宋体" w:hAnsi="宋体" w:eastAsia="宋体" w:cs="宋体"/>
                <w:b w:val="0"/>
                <w:bCs w:val="0"/>
                <w:sz w:val="24"/>
                <w:szCs w:val="24"/>
                <w:lang w:val="en-US" w:eastAsia="zh-CN"/>
              </w:rPr>
              <w:t>免人工费，仅收取设备材料费（</w:t>
            </w:r>
            <w:r>
              <w:rPr>
                <w:rFonts w:hint="eastAsia" w:ascii="宋体" w:hAnsi="宋体" w:eastAsia="宋体" w:cs="宋体"/>
                <w:sz w:val="24"/>
                <w:szCs w:val="24"/>
              </w:rPr>
              <w:t>设备设施出现故障，供应商认为确需更换配件，应向采购人提交相关分析报告或说明，并提供配件的型号、厂家、报价、维修工时等</w:t>
            </w:r>
            <w:r>
              <w:rPr>
                <w:rFonts w:hint="eastAsia" w:ascii="宋体" w:hAnsi="宋体" w:eastAsia="宋体" w:cs="宋体"/>
                <w:b w:val="0"/>
                <w:bCs w:val="0"/>
                <w:sz w:val="24"/>
                <w:szCs w:val="24"/>
                <w:lang w:val="en-US" w:eastAsia="zh-CN"/>
              </w:rPr>
              <w:t>）。</w:t>
            </w:r>
          </w:p>
          <w:p w14:paraId="3E88BABA">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4、交班：每班次下班前需整理值班记录，记录设备运行情况、故障处理结果、工具使用归还情况等，与下一班值班人员进行交接，当面说明重要事项，确保信息准确传递，双方确认无误后签字交班。</w:t>
            </w:r>
          </w:p>
          <w:p w14:paraId="35EE1284">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5、用具配备：投标人必须具备完成本项目维保服务的设备及工器具（参考清单详见附件一）。</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7827655E">
            <w:pPr>
              <w:pStyle w:val="7"/>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p>
        </w:tc>
        <w:tc>
          <w:tcPr>
            <w:tcW w:w="1682" w:type="dxa"/>
            <w:tcBorders>
              <w:top w:val="single" w:color="auto" w:sz="4" w:space="0"/>
              <w:left w:val="single" w:color="auto" w:sz="4" w:space="0"/>
              <w:bottom w:val="single" w:color="auto" w:sz="4" w:space="0"/>
              <w:right w:val="single" w:color="auto" w:sz="4" w:space="0"/>
            </w:tcBorders>
            <w:noWrap w:val="0"/>
            <w:vAlign w:val="center"/>
          </w:tcPr>
          <w:p w14:paraId="2B641B41">
            <w:pPr>
              <w:pStyle w:val="7"/>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p>
        </w:tc>
      </w:tr>
      <w:tr w14:paraId="6D80E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6" w:type="dxa"/>
            <w:vMerge w:val="continue"/>
            <w:tcBorders>
              <w:left w:val="single" w:color="auto" w:sz="4" w:space="0"/>
              <w:right w:val="single" w:color="auto" w:sz="4" w:space="0"/>
            </w:tcBorders>
            <w:noWrap w:val="0"/>
            <w:vAlign w:val="center"/>
          </w:tcPr>
          <w:p w14:paraId="0C7788E9">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p>
        </w:tc>
        <w:tc>
          <w:tcPr>
            <w:tcW w:w="456" w:type="dxa"/>
            <w:vMerge w:val="continue"/>
            <w:tcBorders>
              <w:left w:val="single" w:color="auto" w:sz="4" w:space="0"/>
              <w:right w:val="single" w:color="auto" w:sz="4" w:space="0"/>
            </w:tcBorders>
            <w:noWrap w:val="0"/>
            <w:vAlign w:val="center"/>
          </w:tcPr>
          <w:p w14:paraId="59CF6F02">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480" w:type="dxa"/>
            <w:vMerge w:val="continue"/>
            <w:tcBorders>
              <w:left w:val="single" w:color="auto" w:sz="4" w:space="0"/>
              <w:right w:val="single" w:color="auto" w:sz="4" w:space="0"/>
            </w:tcBorders>
            <w:noWrap w:val="0"/>
            <w:vAlign w:val="center"/>
          </w:tcPr>
          <w:p w14:paraId="258BC7A5">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p>
        </w:tc>
        <w:tc>
          <w:tcPr>
            <w:tcW w:w="9778" w:type="dxa"/>
            <w:tcBorders>
              <w:top w:val="single" w:color="auto" w:sz="4" w:space="0"/>
              <w:left w:val="single" w:color="auto" w:sz="4" w:space="0"/>
              <w:bottom w:val="single" w:color="auto" w:sz="4" w:space="0"/>
              <w:right w:val="single" w:color="auto" w:sz="4" w:space="0"/>
            </w:tcBorders>
            <w:noWrap w:val="0"/>
            <w:vAlign w:val="center"/>
          </w:tcPr>
          <w:p w14:paraId="591FA439">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四、应急处理</w:t>
            </w:r>
          </w:p>
          <w:p w14:paraId="5A6DAFE8">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1、制定应急预案：供应商应针对停电、火灾、设备短路、人员触电等突发情况制定有详细应急预案，明确应急处理流程和各人员职责。</w:t>
            </w:r>
          </w:p>
          <w:p w14:paraId="4859FB62">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2、应急演练：供应商需定期组织值班人员进行应急演练，每季度至少一次，提高值班人员应急处置能力和协同配合能力。</w:t>
            </w:r>
          </w:p>
          <w:p w14:paraId="6A35AEE2">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3、应急物资储备：配备充足的应急物资，如应急照明灯具、灭火器、绝缘手套、绝缘靴、抢修工具及备用设备等，并定期检查维护，确保物资处于良好备用状态。</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23852876">
            <w:pPr>
              <w:pStyle w:val="7"/>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p>
        </w:tc>
        <w:tc>
          <w:tcPr>
            <w:tcW w:w="1682" w:type="dxa"/>
            <w:tcBorders>
              <w:top w:val="single" w:color="auto" w:sz="4" w:space="0"/>
              <w:left w:val="single" w:color="auto" w:sz="4" w:space="0"/>
              <w:bottom w:val="single" w:color="auto" w:sz="4" w:space="0"/>
              <w:right w:val="single" w:color="auto" w:sz="4" w:space="0"/>
            </w:tcBorders>
            <w:noWrap w:val="0"/>
            <w:vAlign w:val="center"/>
          </w:tcPr>
          <w:p w14:paraId="41786CBA">
            <w:pPr>
              <w:pStyle w:val="7"/>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p>
        </w:tc>
      </w:tr>
      <w:tr w14:paraId="04CB8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6" w:type="dxa"/>
            <w:vMerge w:val="continue"/>
            <w:tcBorders>
              <w:left w:val="single" w:color="auto" w:sz="4" w:space="0"/>
              <w:right w:val="single" w:color="auto" w:sz="4" w:space="0"/>
            </w:tcBorders>
            <w:noWrap w:val="0"/>
            <w:vAlign w:val="center"/>
          </w:tcPr>
          <w:p w14:paraId="12DF645B">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p>
        </w:tc>
        <w:tc>
          <w:tcPr>
            <w:tcW w:w="456" w:type="dxa"/>
            <w:vMerge w:val="continue"/>
            <w:tcBorders>
              <w:left w:val="single" w:color="auto" w:sz="4" w:space="0"/>
              <w:right w:val="single" w:color="auto" w:sz="4" w:space="0"/>
            </w:tcBorders>
            <w:noWrap w:val="0"/>
            <w:vAlign w:val="center"/>
          </w:tcPr>
          <w:p w14:paraId="7C42588F">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480" w:type="dxa"/>
            <w:vMerge w:val="continue"/>
            <w:tcBorders>
              <w:left w:val="single" w:color="auto" w:sz="4" w:space="0"/>
              <w:right w:val="single" w:color="auto" w:sz="4" w:space="0"/>
            </w:tcBorders>
            <w:noWrap w:val="0"/>
            <w:vAlign w:val="center"/>
          </w:tcPr>
          <w:p w14:paraId="3E313478">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p>
        </w:tc>
        <w:tc>
          <w:tcPr>
            <w:tcW w:w="9778" w:type="dxa"/>
            <w:tcBorders>
              <w:top w:val="single" w:color="auto" w:sz="4" w:space="0"/>
              <w:left w:val="single" w:color="auto" w:sz="4" w:space="0"/>
              <w:bottom w:val="single" w:color="auto" w:sz="4" w:space="0"/>
              <w:right w:val="single" w:color="auto" w:sz="4" w:space="0"/>
            </w:tcBorders>
            <w:noWrap w:val="0"/>
            <w:vAlign w:val="center"/>
          </w:tcPr>
          <w:p w14:paraId="29381491">
            <w:pPr>
              <w:keepNext w:val="0"/>
              <w:keepLines w:val="0"/>
              <w:pageBreakBefore w:val="0"/>
              <w:kinsoku/>
              <w:wordWrap/>
              <w:overflowPunct/>
              <w:topLinePunct w:val="0"/>
              <w:autoSpaceDE/>
              <w:autoSpaceDN/>
              <w:bidi w:val="0"/>
              <w:adjustRightInd/>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五、</w:t>
            </w:r>
            <w:r>
              <w:rPr>
                <w:rFonts w:hint="eastAsia" w:ascii="宋体" w:hAnsi="宋体" w:cs="宋体"/>
                <w:b/>
                <w:bCs/>
                <w:sz w:val="24"/>
                <w:szCs w:val="24"/>
                <w:lang w:val="en-US" w:eastAsia="zh-CN"/>
              </w:rPr>
              <w:t>施工</w:t>
            </w:r>
            <w:r>
              <w:rPr>
                <w:rFonts w:hint="eastAsia" w:ascii="宋体" w:hAnsi="宋体" w:eastAsia="宋体" w:cs="宋体"/>
                <w:b/>
                <w:bCs/>
                <w:sz w:val="24"/>
                <w:szCs w:val="24"/>
                <w:lang w:val="en-US" w:eastAsia="zh-CN"/>
              </w:rPr>
              <w:t>安全措施</w:t>
            </w:r>
            <w:r>
              <w:rPr>
                <w:rFonts w:hint="eastAsia" w:ascii="宋体" w:hAnsi="宋体" w:cs="宋体"/>
                <w:b/>
                <w:bCs/>
                <w:sz w:val="24"/>
                <w:szCs w:val="24"/>
                <w:lang w:val="en-US" w:eastAsia="zh-CN"/>
              </w:rPr>
              <w:t>要求</w:t>
            </w:r>
          </w:p>
          <w:p w14:paraId="3E34BFFB">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供应商应</w:t>
            </w:r>
            <w:r>
              <w:rPr>
                <w:rFonts w:hint="eastAsia" w:ascii="宋体" w:hAnsi="宋体" w:eastAsia="宋体" w:cs="宋体"/>
                <w:i w:val="0"/>
                <w:iCs w:val="0"/>
                <w:caps w:val="0"/>
                <w:color w:val="333333"/>
                <w:spacing w:val="0"/>
                <w:sz w:val="24"/>
                <w:szCs w:val="24"/>
                <w:shd w:val="clear" w:fill="FFFFFF"/>
              </w:rPr>
              <w:t>具备国家规定的安全生产条件，取得安全生产许可证</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sz w:val="24"/>
                <w:szCs w:val="24"/>
                <w:lang w:val="en-US" w:eastAsia="zh-CN"/>
              </w:rPr>
              <w:t>在满足安全措施后方可进行施工，并使用合格的工器具进行工作。</w:t>
            </w:r>
          </w:p>
          <w:p w14:paraId="185C3D6F">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2、必须坚决执行</w:t>
            </w:r>
            <w:r>
              <w:rPr>
                <w:rFonts w:hint="eastAsia" w:ascii="宋体" w:hAnsi="宋体" w:cs="宋体"/>
                <w:sz w:val="24"/>
                <w:szCs w:val="24"/>
                <w:lang w:val="en-US" w:eastAsia="zh-CN"/>
              </w:rPr>
              <w:t>最新</w:t>
            </w:r>
            <w:r>
              <w:rPr>
                <w:rFonts w:hint="eastAsia" w:ascii="宋体" w:hAnsi="宋体" w:eastAsia="宋体" w:cs="宋体"/>
                <w:sz w:val="24"/>
                <w:szCs w:val="24"/>
                <w:lang w:val="en-US" w:eastAsia="zh-CN"/>
              </w:rPr>
              <w:t>《电业安全工作规程》和《电气工作票技术规范》，必须做好保证安全的组织措施和技术措施；施工前必须履行工作票制度、工作许可制度、工作监护制度、工作间断制度</w:t>
            </w:r>
            <w:r>
              <w:rPr>
                <w:rFonts w:hint="eastAsia" w:ascii="宋体" w:hAnsi="宋体" w:cs="宋体"/>
                <w:sz w:val="24"/>
                <w:szCs w:val="24"/>
                <w:lang w:val="en-US" w:eastAsia="zh-CN"/>
              </w:rPr>
              <w:t>。根据《电力建设工程施工安全监督管理办法》（中华人民共和国国家发展和改革委员会令第28号），供应商应做好施工安全监督管理，</w:t>
            </w:r>
            <w:r>
              <w:rPr>
                <w:rFonts w:hint="eastAsia" w:ascii="宋体" w:hAnsi="宋体" w:eastAsia="宋体" w:cs="宋体"/>
                <w:sz w:val="24"/>
                <w:szCs w:val="24"/>
                <w:lang w:val="en-US" w:eastAsia="zh-CN"/>
              </w:rPr>
              <w:t>施工现场设专职安全监督员。</w:t>
            </w:r>
          </w:p>
          <w:p w14:paraId="2B6F3A2C">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3、施工前，施工负责人必须将工作内容，工作范围，以及设备停电部分和带电部分情况向进场施工人员交代清楚。</w:t>
            </w:r>
          </w:p>
          <w:p w14:paraId="70BD96FB">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4、临时或新进站工作的人员必须经得现场施工负责人同意，并在施工负责人交代清楚现场情况后，方可工作。</w:t>
            </w:r>
          </w:p>
          <w:p w14:paraId="0136CBA1">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5、工作人员进入施工现场必须正确佩带安全帽，高空作业必须佩带安全带，上下传递工器具必须使用绳索传递，严禁抛掷，禁止单人搬运梯子。</w:t>
            </w:r>
          </w:p>
          <w:p w14:paraId="4BE42C6B">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6、工作人员工作时必须与带电部分保持足够的安全距离，施工现场与带电设备之间必须装设安全围栏，并在醒目处悬挂警示标示牌。</w:t>
            </w:r>
          </w:p>
          <w:p w14:paraId="1466B899">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7、特殊的、危险的作业必须设专人监护，必须有安全技术措施，并在施工前进行技术、安全交底、已交底的措施，未经技术负责人同意，不得擅自变更。</w:t>
            </w:r>
          </w:p>
          <w:p w14:paraId="4A52D48B">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施工电源箱各路出线标示清楚，严禁随意拉闸接电、送电；施工用电熔丝的排队故障后方可更换；更换好熔丝、装好保护罩后方可送电；严禁将电线直接勾挂在闸刀上或直接插入插座内使用，严禁一个开关或一个插座接两台及以上电气设备或电动工具。</w:t>
            </w:r>
          </w:p>
          <w:p w14:paraId="0BE7C61B">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9、严禁湿手接触电源开关。</w:t>
            </w:r>
          </w:p>
          <w:p w14:paraId="37753984">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10、施工现场附近内应配备适用于扑灭电气火灾的消防器材；发生电气火灾时应首先切断电源。</w:t>
            </w:r>
          </w:p>
          <w:p w14:paraId="34658432">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11、进行特殊工种的人员必须持证上岗（电工、登高、起重、焊工、机动车驾驶、吊车操作等），上岗证必须定期年审。</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E0483A4">
            <w:pPr>
              <w:pStyle w:val="7"/>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p>
        </w:tc>
        <w:tc>
          <w:tcPr>
            <w:tcW w:w="1682" w:type="dxa"/>
            <w:tcBorders>
              <w:top w:val="single" w:color="auto" w:sz="4" w:space="0"/>
              <w:left w:val="single" w:color="auto" w:sz="4" w:space="0"/>
              <w:bottom w:val="single" w:color="auto" w:sz="4" w:space="0"/>
              <w:right w:val="single" w:color="auto" w:sz="4" w:space="0"/>
            </w:tcBorders>
            <w:noWrap w:val="0"/>
            <w:vAlign w:val="center"/>
          </w:tcPr>
          <w:p w14:paraId="2A63F9C2">
            <w:pPr>
              <w:pStyle w:val="7"/>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p>
        </w:tc>
      </w:tr>
      <w:tr w14:paraId="442C3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6" w:type="dxa"/>
            <w:vMerge w:val="continue"/>
            <w:tcBorders>
              <w:left w:val="single" w:color="auto" w:sz="4" w:space="0"/>
              <w:bottom w:val="single" w:color="auto" w:sz="4" w:space="0"/>
              <w:right w:val="single" w:color="auto" w:sz="4" w:space="0"/>
            </w:tcBorders>
            <w:noWrap w:val="0"/>
            <w:vAlign w:val="center"/>
          </w:tcPr>
          <w:p w14:paraId="4FBE5200">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p>
        </w:tc>
        <w:tc>
          <w:tcPr>
            <w:tcW w:w="456" w:type="dxa"/>
            <w:vMerge w:val="continue"/>
            <w:tcBorders>
              <w:left w:val="single" w:color="auto" w:sz="4" w:space="0"/>
              <w:right w:val="single" w:color="auto" w:sz="4" w:space="0"/>
            </w:tcBorders>
            <w:noWrap w:val="0"/>
            <w:vAlign w:val="center"/>
          </w:tcPr>
          <w:p w14:paraId="5EF264F7">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480" w:type="dxa"/>
            <w:vMerge w:val="continue"/>
            <w:tcBorders>
              <w:left w:val="single" w:color="auto" w:sz="4" w:space="0"/>
              <w:right w:val="single" w:color="auto" w:sz="4" w:space="0"/>
            </w:tcBorders>
            <w:noWrap w:val="0"/>
            <w:vAlign w:val="center"/>
          </w:tcPr>
          <w:p w14:paraId="4FE7DB66">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p>
        </w:tc>
        <w:tc>
          <w:tcPr>
            <w:tcW w:w="9778" w:type="dxa"/>
            <w:tcBorders>
              <w:top w:val="single" w:color="auto" w:sz="4" w:space="0"/>
              <w:left w:val="single" w:color="auto" w:sz="4" w:space="0"/>
              <w:bottom w:val="single" w:color="auto" w:sz="4" w:space="0"/>
              <w:right w:val="single" w:color="auto" w:sz="4" w:space="0"/>
            </w:tcBorders>
            <w:noWrap w:val="0"/>
            <w:vAlign w:val="center"/>
          </w:tcPr>
          <w:p w14:paraId="22A675F0">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、环境保护措施</w:t>
            </w:r>
          </w:p>
          <w:p w14:paraId="3793C394">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1、必须对施工机具进行鉴定检查，配备符合安全、环境保护要求的施工设施、设备</w:t>
            </w:r>
            <w:r>
              <w:rPr>
                <w:rFonts w:hint="eastAsia" w:ascii="宋体" w:hAnsi="宋体" w:cs="宋体"/>
                <w:sz w:val="24"/>
                <w:szCs w:val="24"/>
                <w:lang w:val="en-US" w:eastAsia="zh-CN"/>
              </w:rPr>
              <w:t>。</w:t>
            </w:r>
          </w:p>
          <w:p w14:paraId="4FF56C98">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2、有害有毒物品、易燃易爆物品等应在作业现场临时放置时应设警示标志牌，必要时应设专人看护</w:t>
            </w:r>
            <w:r>
              <w:rPr>
                <w:rFonts w:hint="eastAsia" w:ascii="宋体" w:hAnsi="宋体" w:cs="宋体"/>
                <w:sz w:val="24"/>
                <w:szCs w:val="24"/>
                <w:lang w:val="en-US" w:eastAsia="zh-CN"/>
              </w:rPr>
              <w:t>。</w:t>
            </w:r>
          </w:p>
          <w:p w14:paraId="4C3F1AD8">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供应商需制定有</w:t>
            </w:r>
            <w:r>
              <w:rPr>
                <w:rFonts w:hint="eastAsia" w:ascii="宋体" w:hAnsi="宋体" w:eastAsia="宋体" w:cs="宋体"/>
                <w:sz w:val="24"/>
                <w:szCs w:val="24"/>
                <w:lang w:val="en-US" w:eastAsia="zh-CN"/>
              </w:rPr>
              <w:t>环保和场地清理措施，施工过程中应严格执行</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保护环境</w:t>
            </w:r>
            <w:r>
              <w:rPr>
                <w:rFonts w:hint="eastAsia" w:ascii="宋体" w:hAnsi="宋体" w:cs="宋体"/>
                <w:sz w:val="24"/>
                <w:szCs w:val="24"/>
                <w:lang w:val="en-US" w:eastAsia="zh-CN"/>
              </w:rPr>
              <w:t>。</w:t>
            </w:r>
          </w:p>
          <w:p w14:paraId="2136EF2B">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每次</w:t>
            </w:r>
            <w:r>
              <w:rPr>
                <w:rFonts w:hint="eastAsia" w:ascii="宋体" w:hAnsi="宋体" w:eastAsia="宋体" w:cs="宋体"/>
                <w:sz w:val="24"/>
                <w:szCs w:val="24"/>
                <w:lang w:val="en-US" w:eastAsia="zh-CN"/>
              </w:rPr>
              <w:t>工程收工的每个施工点应做到工完料尽，填好施工坑，及时清理好施工现场废弃物，保持施工现场、材料站整齐有序</w:t>
            </w:r>
            <w:r>
              <w:rPr>
                <w:rFonts w:hint="eastAsia" w:ascii="宋体" w:hAnsi="宋体" w:cs="宋体"/>
                <w:sz w:val="24"/>
                <w:szCs w:val="24"/>
                <w:lang w:val="en-US" w:eastAsia="zh-CN"/>
              </w:rPr>
              <w:t>。</w:t>
            </w:r>
          </w:p>
          <w:p w14:paraId="1408136F">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、放在配电房内的新旧设备、材料必须按指定的地点存放，并摆放整齐</w:t>
            </w:r>
            <w:r>
              <w:rPr>
                <w:rFonts w:hint="eastAsia" w:ascii="宋体" w:hAnsi="宋体" w:cs="宋体"/>
                <w:sz w:val="24"/>
                <w:szCs w:val="24"/>
                <w:lang w:val="en-US" w:eastAsia="zh-CN"/>
              </w:rPr>
              <w:t>。</w:t>
            </w:r>
          </w:p>
          <w:p w14:paraId="4E996A39">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、工作中注意保持施工现场的整齐清洁，不得乱摆乱放施工材料和工具。</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FB39839">
            <w:pPr>
              <w:pStyle w:val="7"/>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p>
        </w:tc>
        <w:tc>
          <w:tcPr>
            <w:tcW w:w="1682" w:type="dxa"/>
            <w:tcBorders>
              <w:top w:val="single" w:color="auto" w:sz="4" w:space="0"/>
              <w:left w:val="single" w:color="auto" w:sz="4" w:space="0"/>
              <w:bottom w:val="single" w:color="auto" w:sz="4" w:space="0"/>
              <w:right w:val="single" w:color="auto" w:sz="4" w:space="0"/>
            </w:tcBorders>
            <w:noWrap w:val="0"/>
            <w:vAlign w:val="center"/>
          </w:tcPr>
          <w:p w14:paraId="71835BAD">
            <w:pPr>
              <w:pStyle w:val="7"/>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p>
        </w:tc>
      </w:tr>
      <w:tr w14:paraId="3B85C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56" w:type="dxa"/>
            <w:tcBorders>
              <w:top w:val="single" w:color="auto" w:sz="4" w:space="0"/>
              <w:left w:val="single" w:color="auto" w:sz="4" w:space="0"/>
              <w:bottom w:val="single" w:color="auto" w:sz="4" w:space="0"/>
              <w:right w:val="single" w:color="auto" w:sz="4" w:space="0"/>
            </w:tcBorders>
            <w:noWrap w:val="0"/>
            <w:vAlign w:val="center"/>
          </w:tcPr>
          <w:p w14:paraId="2BE27A2F">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p>
        </w:tc>
        <w:tc>
          <w:tcPr>
            <w:tcW w:w="456" w:type="dxa"/>
            <w:vMerge w:val="continue"/>
            <w:tcBorders>
              <w:left w:val="single" w:color="auto" w:sz="4" w:space="0"/>
              <w:bottom w:val="single" w:color="auto" w:sz="4" w:space="0"/>
              <w:right w:val="single" w:color="auto" w:sz="4" w:space="0"/>
            </w:tcBorders>
            <w:noWrap w:val="0"/>
            <w:vAlign w:val="center"/>
          </w:tcPr>
          <w:p w14:paraId="23FE4AD3">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p>
        </w:tc>
        <w:tc>
          <w:tcPr>
            <w:tcW w:w="480" w:type="dxa"/>
            <w:vMerge w:val="continue"/>
            <w:tcBorders>
              <w:left w:val="single" w:color="auto" w:sz="4" w:space="0"/>
              <w:bottom w:val="single" w:color="auto" w:sz="4" w:space="0"/>
              <w:right w:val="single" w:color="auto" w:sz="4" w:space="0"/>
            </w:tcBorders>
            <w:noWrap w:val="0"/>
            <w:vAlign w:val="center"/>
          </w:tcPr>
          <w:p w14:paraId="23780C98">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lang w:val="en-US" w:eastAsia="zh-CN"/>
              </w:rPr>
            </w:pPr>
          </w:p>
        </w:tc>
        <w:tc>
          <w:tcPr>
            <w:tcW w:w="9778" w:type="dxa"/>
            <w:tcBorders>
              <w:top w:val="single" w:color="auto" w:sz="4" w:space="0"/>
              <w:left w:val="single" w:color="auto" w:sz="4" w:space="0"/>
              <w:bottom w:val="single" w:color="auto" w:sz="4" w:space="0"/>
              <w:right w:val="single" w:color="auto" w:sz="4" w:space="0"/>
            </w:tcBorders>
            <w:noWrap w:val="0"/>
            <w:vAlign w:val="center"/>
          </w:tcPr>
          <w:p w14:paraId="1B17E8AD">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七、其他服务要求</w:t>
            </w:r>
          </w:p>
          <w:p w14:paraId="10F32A70">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1、服务人员需严格遵守医院各项规章制度，服从医院管理部门的监督及相关科室有关人员的管理。</w:t>
            </w:r>
          </w:p>
          <w:p w14:paraId="038FD6D4">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2、岗人员仪表整洁，业务操作规范，保持岗位卫生整洁。</w:t>
            </w:r>
          </w:p>
          <w:p w14:paraId="3D675B22">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3、按时到岗，不迟到、不早退、工作时间内不得擅自离岗、串岗，做其他与工作无关的事情。</w:t>
            </w:r>
          </w:p>
          <w:p w14:paraId="7AA22395">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4、不得私卖医院废品，不得损坏医院财物，若有损坏供应商要负责维修或赔偿。</w:t>
            </w:r>
          </w:p>
          <w:p w14:paraId="1056811A">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r>
              <w:rPr>
                <w:rFonts w:hint="eastAsia" w:ascii="宋体" w:hAnsi="宋体" w:eastAsia="宋体" w:cs="宋体"/>
                <w:kern w:val="2"/>
                <w:sz w:val="24"/>
                <w:szCs w:val="24"/>
                <w:lang w:val="en-US" w:eastAsia="zh-CN" w:bidi="ar-SA"/>
              </w:rPr>
              <w:t>在合同期内，供应商须为服务人员的人身安全提供切实的保障措施、安全</w:t>
            </w:r>
            <w:r>
              <w:rPr>
                <w:rFonts w:hint="eastAsia" w:ascii="宋体" w:hAnsi="宋体" w:cs="宋体"/>
                <w:kern w:val="2"/>
                <w:sz w:val="24"/>
                <w:szCs w:val="24"/>
                <w:lang w:val="en-US" w:eastAsia="zh-CN" w:bidi="ar-SA"/>
              </w:rPr>
              <w:t>生产</w:t>
            </w:r>
            <w:r>
              <w:rPr>
                <w:rFonts w:hint="eastAsia" w:ascii="宋体" w:hAnsi="宋体" w:eastAsia="宋体" w:cs="宋体"/>
                <w:kern w:val="2"/>
                <w:sz w:val="24"/>
                <w:szCs w:val="24"/>
                <w:lang w:val="en-US" w:eastAsia="zh-CN" w:bidi="ar-SA"/>
              </w:rPr>
              <w:t>培训，供应商服务人员自身或造成采购人或第三方财产损失或人员伤亡的，由供应商承担全部经济责任及法律责任，采购人不承担任何责任，若造成采购方的经济损失的，还需赔偿采购方的相关损失。</w:t>
            </w:r>
          </w:p>
          <w:p w14:paraId="5C2FE043">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7、供应商投入服务人员在岗履行工作职责期间，发生劳动纠纷的，均由中标人根据有关法律规定做出妥善处理，采购人不承担任何责任。</w:t>
            </w:r>
          </w:p>
          <w:p w14:paraId="0CA6ACB8">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8、采购人有权对供应商日常工作流程进行监督指导，如发现不合理处，有权要求供应商进行整改。中标人应在收到采购人书面通知之日起一日内书面提交整改方案并完成整改。</w:t>
            </w:r>
          </w:p>
          <w:p w14:paraId="5E83DDFD">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9、供应商在服务期，应及时将服务管理中存在的问题向采购人汇报，便于采购人及时掌握服务工作动态，以利双方共同合作。</w:t>
            </w:r>
          </w:p>
          <w:p w14:paraId="6CFBFB44">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供应商应建立健全及妥善保存服务过程中各类维修记录、值班记录、技术档案及改造图纸、管理档案、设备运行记录档案，及根据采购人要求需留存的各类文件。数据可用数字化储存的方式记录，保存运行原始资料。资料及档案定期交采购人备案。</w:t>
            </w:r>
          </w:p>
          <w:p w14:paraId="247597A3">
            <w:pPr>
              <w:pStyle w:val="7"/>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验收与考核：符合现行国家相关标准、行业标准、地方标准或者其他标准、规范、合同要求。采购人每月对供应商进行考核（考核内容详见附件二），考核结果分为：合格与不合格。满分为100分，90分以上（含90分）为合格；90分以下为不合格。出现不合格时，每降低5分扣款2000元，考核涉及的所有扣款，均在服务款中扣除。出现不合格时，中标人必须向采购人提交整改方案，连续两个月或年度内累计3次出现服务考核不合格的，或因供应商原因导致采购人各项检查未通过的，采购人有权单方终止本合同。</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1E8430F5">
            <w:pPr>
              <w:pStyle w:val="7"/>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p>
        </w:tc>
        <w:tc>
          <w:tcPr>
            <w:tcW w:w="1682" w:type="dxa"/>
            <w:tcBorders>
              <w:top w:val="single" w:color="auto" w:sz="4" w:space="0"/>
              <w:left w:val="single" w:color="auto" w:sz="4" w:space="0"/>
              <w:bottom w:val="single" w:color="auto" w:sz="4" w:space="0"/>
              <w:right w:val="single" w:color="auto" w:sz="4" w:space="0"/>
            </w:tcBorders>
            <w:noWrap w:val="0"/>
            <w:vAlign w:val="center"/>
          </w:tcPr>
          <w:p w14:paraId="5F566D96">
            <w:pPr>
              <w:pStyle w:val="7"/>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p>
        </w:tc>
      </w:tr>
      <w:tr w14:paraId="567DD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1170" w:type="dxa"/>
            <w:gridSpan w:val="4"/>
            <w:tcBorders>
              <w:top w:val="single" w:color="auto" w:sz="4" w:space="0"/>
              <w:left w:val="single" w:color="auto" w:sz="4" w:space="0"/>
              <w:bottom w:val="single" w:color="auto" w:sz="4" w:space="0"/>
              <w:right w:val="single" w:color="auto" w:sz="4" w:space="0"/>
            </w:tcBorders>
            <w:noWrap w:val="0"/>
            <w:vAlign w:val="center"/>
          </w:tcPr>
          <w:p w14:paraId="4FE1A399">
            <w:pPr>
              <w:pStyle w:val="7"/>
              <w:keepNext w:val="0"/>
              <w:keepLines w:val="0"/>
              <w:pageBreakBefore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rPr>
              <w:t>▲二、</w:t>
            </w:r>
            <w:r>
              <w:rPr>
                <w:rFonts w:hint="eastAsia" w:ascii="宋体" w:hAnsi="宋体" w:eastAsia="宋体" w:cs="宋体"/>
                <w:b/>
                <w:color w:val="auto"/>
                <w:sz w:val="24"/>
                <w:szCs w:val="24"/>
                <w:highlight w:val="none"/>
              </w:rPr>
              <w:t>商务要求</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619FF48B">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b/>
                <w:bCs/>
                <w:i w:val="0"/>
                <w:iCs w:val="0"/>
                <w:color w:val="000000"/>
                <w:kern w:val="0"/>
                <w:sz w:val="21"/>
                <w:szCs w:val="21"/>
                <w:u w:val="none"/>
                <w:lang w:val="en-US" w:eastAsia="zh-CN" w:bidi="ar"/>
              </w:rPr>
              <w:t>参数是否响应（是/否）</w:t>
            </w:r>
          </w:p>
        </w:tc>
        <w:tc>
          <w:tcPr>
            <w:tcW w:w="1682" w:type="dxa"/>
            <w:tcBorders>
              <w:top w:val="single" w:color="auto" w:sz="4" w:space="0"/>
              <w:left w:val="single" w:color="auto" w:sz="4" w:space="0"/>
              <w:bottom w:val="single" w:color="auto" w:sz="4" w:space="0"/>
              <w:right w:val="single" w:color="auto" w:sz="4" w:space="0"/>
            </w:tcBorders>
            <w:noWrap w:val="0"/>
            <w:vAlign w:val="center"/>
          </w:tcPr>
          <w:p w14:paraId="2438258C">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b/>
                <w:bCs/>
                <w:i w:val="0"/>
                <w:iCs w:val="0"/>
                <w:color w:val="000000"/>
                <w:kern w:val="0"/>
                <w:sz w:val="21"/>
                <w:szCs w:val="21"/>
                <w:u w:val="none"/>
                <w:lang w:val="en-US" w:eastAsia="zh-CN" w:bidi="ar"/>
              </w:rPr>
              <w:t>备注(若不符合，或有优化建议，请在此栏填写)</w:t>
            </w:r>
          </w:p>
        </w:tc>
      </w:tr>
      <w:tr w14:paraId="11E0E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392" w:type="dxa"/>
            <w:gridSpan w:val="3"/>
            <w:tcBorders>
              <w:top w:val="single" w:color="auto" w:sz="4" w:space="0"/>
              <w:left w:val="single" w:color="auto" w:sz="4" w:space="0"/>
              <w:bottom w:val="single" w:color="auto" w:sz="4" w:space="0"/>
              <w:right w:val="single" w:color="auto" w:sz="4" w:space="0"/>
            </w:tcBorders>
            <w:noWrap w:val="0"/>
            <w:vAlign w:val="center"/>
          </w:tcPr>
          <w:p w14:paraId="2AE27DB1">
            <w:pPr>
              <w:pStyle w:val="7"/>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auto"/>
                <w:sz w:val="24"/>
                <w:szCs w:val="24"/>
                <w:highlight w:val="none"/>
              </w:rPr>
              <w:t>投标报价要求</w:t>
            </w:r>
          </w:p>
        </w:tc>
        <w:tc>
          <w:tcPr>
            <w:tcW w:w="9778" w:type="dxa"/>
            <w:tcBorders>
              <w:top w:val="single" w:color="auto" w:sz="4" w:space="0"/>
              <w:left w:val="single" w:color="auto" w:sz="4" w:space="0"/>
              <w:bottom w:val="single" w:color="auto" w:sz="4" w:space="0"/>
              <w:right w:val="single" w:color="auto" w:sz="4" w:space="0"/>
            </w:tcBorders>
            <w:noWrap w:val="0"/>
            <w:vAlign w:val="center"/>
          </w:tcPr>
          <w:p w14:paraId="67D38D2F">
            <w:pPr>
              <w:pStyle w:val="7"/>
              <w:keepNext w:val="0"/>
              <w:keepLines w:val="0"/>
              <w:pageBreakBefore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r>
              <w:rPr>
                <w:rFonts w:hint="eastAsia" w:hAnsi="宋体" w:cs="宋体"/>
                <w:kern w:val="2"/>
                <w:sz w:val="24"/>
                <w:szCs w:val="24"/>
                <w:lang w:val="en-US" w:eastAsia="zh-CN" w:bidi="ar-SA"/>
              </w:rPr>
              <w:t>1</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lang w:val="en-US" w:eastAsia="zh-CN"/>
              </w:rPr>
              <w:t>服务费用实行总包制，投标报价应包含：人员的工资、劳保（服装、安全防护用品、值勤记录本等用品费用）、完成本服务所需的一切设备及工器具、社保费、福利待遇（节日慰问、培训费、国家法定节日加班费等），以及其他管理费用、税费、奖金、企业利润等。供应商报价时应充分考虑各项投标成本、税金等与本项目相关的一切费用，以及市场价格变动等风险。项目实施过程中，采购人不再支付其他任何费用。</w:t>
            </w:r>
          </w:p>
          <w:p w14:paraId="1D118DF6">
            <w:pPr>
              <w:pStyle w:val="7"/>
              <w:keepNext w:val="0"/>
              <w:keepLines w:val="0"/>
              <w:pageBreakBefore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r>
              <w:rPr>
                <w:rFonts w:hint="eastAsia" w:hAnsi="宋体" w:cs="宋体"/>
                <w:kern w:val="2"/>
                <w:sz w:val="24"/>
                <w:szCs w:val="24"/>
                <w:lang w:val="en-US" w:eastAsia="zh-CN" w:bidi="ar-SA"/>
              </w:rPr>
              <w:t>2</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lang w:val="en-US" w:eastAsia="zh-CN"/>
              </w:rPr>
              <w:t>项目过程中如涉及到的必要验收费用、设备检验费用，由投标人负责。</w:t>
            </w:r>
          </w:p>
        </w:tc>
        <w:tc>
          <w:tcPr>
            <w:tcW w:w="1311" w:type="dxa"/>
            <w:tcBorders>
              <w:top w:val="single" w:color="auto" w:sz="4" w:space="0"/>
              <w:left w:val="single" w:color="auto" w:sz="4" w:space="0"/>
              <w:bottom w:val="single" w:color="auto" w:sz="4" w:space="0"/>
              <w:right w:val="single" w:color="auto" w:sz="4" w:space="0"/>
            </w:tcBorders>
            <w:noWrap w:val="0"/>
            <w:vAlign w:val="center"/>
          </w:tcPr>
          <w:p w14:paraId="3EA84186">
            <w:pPr>
              <w:pStyle w:val="7"/>
              <w:keepNext w:val="0"/>
              <w:keepLines w:val="0"/>
              <w:pageBreakBefore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p>
        </w:tc>
        <w:tc>
          <w:tcPr>
            <w:tcW w:w="1682" w:type="dxa"/>
            <w:tcBorders>
              <w:top w:val="single" w:color="auto" w:sz="4" w:space="0"/>
              <w:left w:val="single" w:color="auto" w:sz="4" w:space="0"/>
              <w:bottom w:val="single" w:color="auto" w:sz="4" w:space="0"/>
              <w:right w:val="single" w:color="auto" w:sz="4" w:space="0"/>
            </w:tcBorders>
            <w:noWrap w:val="0"/>
            <w:vAlign w:val="center"/>
          </w:tcPr>
          <w:p w14:paraId="35AD22D2">
            <w:pPr>
              <w:pStyle w:val="7"/>
              <w:keepNext w:val="0"/>
              <w:keepLines w:val="0"/>
              <w:pageBreakBefore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4"/>
                <w:szCs w:val="24"/>
                <w:lang w:val="en-US" w:eastAsia="zh-CN"/>
              </w:rPr>
            </w:pPr>
          </w:p>
        </w:tc>
      </w:tr>
      <w:tr w14:paraId="24C03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D6584FE">
            <w:pPr>
              <w:widowControl/>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合同签订期</w:t>
            </w:r>
          </w:p>
        </w:tc>
        <w:tc>
          <w:tcPr>
            <w:tcW w:w="9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8DCFEB">
            <w:pPr>
              <w:snapToGrid w:val="0"/>
              <w:spacing w:line="360" w:lineRule="auto"/>
              <w:jc w:val="both"/>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kern w:val="2"/>
                <w:sz w:val="24"/>
                <w:szCs w:val="24"/>
                <w:lang w:val="en-US" w:eastAsia="zh-CN" w:bidi="ar-SA"/>
              </w:rPr>
              <w:t>自中标通知书发出之日起25日内。</w:t>
            </w:r>
          </w:p>
        </w:tc>
        <w:tc>
          <w:tcPr>
            <w:tcW w:w="13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63C0FE">
            <w:pPr>
              <w:snapToGrid w:val="0"/>
              <w:spacing w:line="360" w:lineRule="auto"/>
              <w:jc w:val="both"/>
              <w:rPr>
                <w:rFonts w:hint="eastAsia" w:ascii="宋体" w:hAnsi="宋体" w:eastAsia="宋体" w:cs="宋体"/>
                <w:kern w:val="2"/>
                <w:sz w:val="24"/>
                <w:szCs w:val="24"/>
                <w:lang w:val="en-US" w:eastAsia="zh-CN" w:bidi="ar-SA"/>
              </w:rPr>
            </w:pPr>
          </w:p>
        </w:tc>
        <w:tc>
          <w:tcPr>
            <w:tcW w:w="16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89E184">
            <w:pPr>
              <w:snapToGrid w:val="0"/>
              <w:spacing w:line="360" w:lineRule="auto"/>
              <w:jc w:val="both"/>
              <w:rPr>
                <w:rFonts w:hint="eastAsia" w:ascii="宋体" w:hAnsi="宋体" w:eastAsia="宋体" w:cs="宋体"/>
                <w:kern w:val="2"/>
                <w:sz w:val="24"/>
                <w:szCs w:val="24"/>
                <w:lang w:val="en-US" w:eastAsia="zh-CN" w:bidi="ar-SA"/>
              </w:rPr>
            </w:pPr>
          </w:p>
        </w:tc>
      </w:tr>
      <w:tr w14:paraId="2810E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E05B854">
            <w:pPr>
              <w:wordWrap w:val="0"/>
              <w:topLinePunct/>
              <w:snapToGrid w:val="0"/>
              <w:spacing w:line="36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项目服务期限和地点</w:t>
            </w:r>
          </w:p>
        </w:tc>
        <w:tc>
          <w:tcPr>
            <w:tcW w:w="9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B47660">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1、服务期限：1年。</w:t>
            </w:r>
          </w:p>
          <w:p w14:paraId="7A0E6D05">
            <w:pPr>
              <w:snapToGrid w:val="0"/>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2"/>
                <w:sz w:val="24"/>
                <w:szCs w:val="24"/>
                <w:lang w:val="en-US" w:eastAsia="zh-CN" w:bidi="ar-SA"/>
              </w:rPr>
              <w:t>2、服务地点：广西医科大学第一附属医院内采购人指定地点。</w:t>
            </w:r>
          </w:p>
        </w:tc>
        <w:tc>
          <w:tcPr>
            <w:tcW w:w="13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B21EC4">
            <w:pPr>
              <w:snapToGrid w:val="0"/>
              <w:spacing w:line="360" w:lineRule="auto"/>
              <w:jc w:val="both"/>
              <w:rPr>
                <w:rFonts w:hint="eastAsia" w:ascii="宋体" w:hAnsi="宋体" w:eastAsia="宋体" w:cs="宋体"/>
                <w:kern w:val="2"/>
                <w:sz w:val="24"/>
                <w:szCs w:val="24"/>
                <w:lang w:val="en-US" w:eastAsia="zh-CN" w:bidi="ar-SA"/>
              </w:rPr>
            </w:pPr>
          </w:p>
        </w:tc>
        <w:tc>
          <w:tcPr>
            <w:tcW w:w="16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B540F2">
            <w:pPr>
              <w:snapToGrid w:val="0"/>
              <w:spacing w:line="360" w:lineRule="auto"/>
              <w:jc w:val="both"/>
              <w:rPr>
                <w:rFonts w:hint="eastAsia" w:ascii="宋体" w:hAnsi="宋体" w:eastAsia="宋体" w:cs="宋体"/>
                <w:kern w:val="2"/>
                <w:sz w:val="24"/>
                <w:szCs w:val="24"/>
                <w:lang w:val="en-US" w:eastAsia="zh-CN" w:bidi="ar-SA"/>
              </w:rPr>
            </w:pPr>
          </w:p>
        </w:tc>
      </w:tr>
      <w:tr w14:paraId="17CFF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7CE0134">
            <w:pPr>
              <w:wordWrap w:val="0"/>
              <w:topLinePunct/>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付款条件</w:t>
            </w:r>
          </w:p>
        </w:tc>
        <w:tc>
          <w:tcPr>
            <w:tcW w:w="9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BF02CC">
            <w:pPr>
              <w:snapToGrid w:val="0"/>
              <w:spacing w:line="360" w:lineRule="auto"/>
              <w:rPr>
                <w:rFonts w:hint="eastAsia" w:ascii="宋体" w:hAnsi="宋体" w:eastAsia="宋体" w:cs="宋体"/>
                <w:color w:val="auto"/>
                <w:sz w:val="24"/>
                <w:szCs w:val="24"/>
                <w:lang w:val="en-US" w:eastAsia="zh-CN"/>
              </w:rPr>
            </w:pPr>
            <w:r>
              <w:rPr>
                <w:rFonts w:hint="eastAsia" w:ascii="宋体" w:hAnsi="宋体" w:eastAsia="宋体" w:cs="宋体"/>
                <w:kern w:val="2"/>
                <w:sz w:val="24"/>
                <w:szCs w:val="24"/>
                <w:lang w:val="en-US" w:eastAsia="zh-CN" w:bidi="ar-SA"/>
              </w:rPr>
              <w:t>1、</w:t>
            </w:r>
            <w:r>
              <w:rPr>
                <w:rFonts w:hint="eastAsia" w:ascii="宋体" w:hAnsi="宋体" w:eastAsia="宋体" w:cs="宋体"/>
                <w:color w:val="auto"/>
                <w:sz w:val="24"/>
                <w:szCs w:val="24"/>
                <w:lang w:val="en-US" w:eastAsia="zh-CN"/>
              </w:rPr>
              <w:t>付款方式: 双方对考核表扣减费用进行核对后，服务费按</w:t>
            </w:r>
            <w:r>
              <w:rPr>
                <w:rFonts w:hint="eastAsia" w:ascii="宋体" w:hAnsi="宋体" w:cs="宋体"/>
                <w:color w:val="auto"/>
                <w:sz w:val="24"/>
                <w:szCs w:val="24"/>
                <w:lang w:val="en-US" w:eastAsia="zh-CN"/>
              </w:rPr>
              <w:t>月</w:t>
            </w:r>
            <w:r>
              <w:rPr>
                <w:rFonts w:hint="eastAsia" w:ascii="宋体" w:hAnsi="宋体" w:eastAsia="宋体" w:cs="宋体"/>
                <w:color w:val="auto"/>
                <w:sz w:val="24"/>
                <w:szCs w:val="24"/>
                <w:lang w:val="en-US" w:eastAsia="zh-CN"/>
              </w:rPr>
              <w:t>进行支付，供应商开具有效票据，并提供付款材料至采购人，采购人完成付款审批手续后15个工作日将费用汇至供应商指定账户。</w:t>
            </w:r>
          </w:p>
          <w:p w14:paraId="5BD00889">
            <w:pPr>
              <w:snapToGrid w:val="0"/>
              <w:spacing w:line="360" w:lineRule="auto"/>
              <w:rPr>
                <w:rFonts w:hint="eastAsia" w:ascii="宋体" w:hAnsi="宋体" w:eastAsia="宋体" w:cs="宋体"/>
                <w:kern w:val="2"/>
                <w:sz w:val="24"/>
                <w:szCs w:val="24"/>
                <w:lang w:val="en-US" w:eastAsia="zh-CN" w:bidi="ar-SA"/>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、发票要求：付款前供应商必须提供真实、有效、合法的正式发票，如提供假发票的，供应商除须向采购人补开合法发票外，并须赔偿采购人发票票面金额一倍的违约金，由此产生的一切损失均由供应商承担。</w:t>
            </w:r>
          </w:p>
        </w:tc>
        <w:tc>
          <w:tcPr>
            <w:tcW w:w="13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262354">
            <w:pPr>
              <w:snapToGrid w:val="0"/>
              <w:spacing w:line="360" w:lineRule="auto"/>
              <w:rPr>
                <w:rFonts w:hint="eastAsia" w:ascii="宋体" w:hAnsi="宋体" w:cs="宋体"/>
                <w:color w:val="auto"/>
                <w:sz w:val="24"/>
                <w:szCs w:val="24"/>
                <w:lang w:val="en-US" w:eastAsia="zh-CN"/>
              </w:rPr>
            </w:pPr>
          </w:p>
        </w:tc>
        <w:tc>
          <w:tcPr>
            <w:tcW w:w="16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56B267">
            <w:pPr>
              <w:snapToGrid w:val="0"/>
              <w:spacing w:line="360" w:lineRule="auto"/>
              <w:rPr>
                <w:rFonts w:hint="eastAsia" w:ascii="宋体" w:hAnsi="宋体" w:cs="宋体"/>
                <w:color w:val="auto"/>
                <w:sz w:val="24"/>
                <w:szCs w:val="24"/>
                <w:lang w:val="en-US" w:eastAsia="zh-CN"/>
              </w:rPr>
            </w:pPr>
          </w:p>
        </w:tc>
      </w:tr>
      <w:tr w14:paraId="5DE05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2360C15">
            <w:pPr>
              <w:widowControl/>
              <w:spacing w:line="360" w:lineRule="auto"/>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auto"/>
                <w:sz w:val="24"/>
                <w:szCs w:val="24"/>
                <w:highlight w:val="none"/>
                <w:lang w:val="en-US" w:eastAsia="zh-CN"/>
              </w:rPr>
              <w:t>货物质量要求</w:t>
            </w:r>
          </w:p>
        </w:tc>
        <w:tc>
          <w:tcPr>
            <w:tcW w:w="9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AD5ED9">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1、投标人为响应本项目采购需求而提供的货物（如有）：按国家有关产品“三包”规定执行“三包”，所有货物维保期从最终验收合格之日起计算不少于一年（含一年）。</w:t>
            </w:r>
          </w:p>
          <w:p w14:paraId="1B78C4B3">
            <w:pPr>
              <w:snapToGrid w:val="0"/>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更换的零配件、备件、耗材，须是原厂认证合格的零配件、备件、耗材，满足设备运行要求，不会给设备带来危害。维修中所更换的零配件、备件、耗材为原厂生产且未经拆封的，其相应参数符合国家质量检测标准；零配件、备件、耗材的采购渠道必须符合国家相关法律、法规。</w:t>
            </w:r>
          </w:p>
        </w:tc>
        <w:tc>
          <w:tcPr>
            <w:tcW w:w="13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99AEEF">
            <w:pPr>
              <w:snapToGrid w:val="0"/>
              <w:spacing w:line="360" w:lineRule="auto"/>
              <w:jc w:val="both"/>
              <w:rPr>
                <w:rFonts w:hint="eastAsia" w:ascii="宋体" w:hAnsi="宋体" w:eastAsia="宋体" w:cs="宋体"/>
                <w:kern w:val="2"/>
                <w:sz w:val="24"/>
                <w:szCs w:val="24"/>
                <w:lang w:val="en-US" w:eastAsia="zh-CN" w:bidi="ar-SA"/>
              </w:rPr>
            </w:pPr>
          </w:p>
        </w:tc>
        <w:tc>
          <w:tcPr>
            <w:tcW w:w="16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045F82">
            <w:pPr>
              <w:snapToGrid w:val="0"/>
              <w:spacing w:line="360" w:lineRule="auto"/>
              <w:jc w:val="both"/>
              <w:rPr>
                <w:rFonts w:hint="eastAsia" w:ascii="宋体" w:hAnsi="宋体" w:eastAsia="宋体" w:cs="宋体"/>
                <w:kern w:val="2"/>
                <w:sz w:val="24"/>
                <w:szCs w:val="24"/>
                <w:lang w:val="en-US" w:eastAsia="zh-CN" w:bidi="ar-SA"/>
              </w:rPr>
            </w:pPr>
          </w:p>
        </w:tc>
      </w:tr>
      <w:tr w14:paraId="16E2B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E9EFB7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color w:val="auto"/>
                <w:sz w:val="24"/>
                <w:szCs w:val="24"/>
                <w:highlight w:val="none"/>
              </w:rPr>
              <w:t>采购标的验收标准</w:t>
            </w:r>
          </w:p>
        </w:tc>
        <w:tc>
          <w:tcPr>
            <w:tcW w:w="977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A355915">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1、供应商需承担项目验收时发生的一切费用。</w:t>
            </w:r>
          </w:p>
          <w:p w14:paraId="1B0D947F">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2、采购单位将依据采购文件上的技术要求和国家有关标准对</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供应商完成的项目进行验收，验收不合格的，采购单位有权不予签收；在本项目验收时，</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供应商如提供不符合采购文件、响应文件和采购合同规定的服务，采购单位有权拒绝接受，由此产生的一切损失均由成交供应商自行承担。</w:t>
            </w:r>
          </w:p>
          <w:p w14:paraId="744A097B">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于验收前向采购单位提供一切有关技术文件、资料、图纸和相关记录等验收材料。经采购人确认项目的实施总体功能、服务符合采购单位认可的服务方案及合同规定的，予以验收，并作出验收结果报告。采购人及成交供应商双方签署项目终验验收证书。</w:t>
            </w:r>
          </w:p>
          <w:p w14:paraId="5205776D">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4、验收标准</w:t>
            </w:r>
          </w:p>
          <w:p w14:paraId="4F28BFEA">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项目采购文件及供应商响应文件中的“技术需求偏离表”，逐条验收；</w:t>
            </w:r>
          </w:p>
          <w:p w14:paraId="217CAE28">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项目采购文件及投标人响应文件中的“商务条款偏离表”，逐条验收；</w:t>
            </w:r>
          </w:p>
          <w:p w14:paraId="65A81B38">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供应商响应文件中其他技术、服务、商务性的说明、承诺事项，逐条验收。</w:t>
            </w:r>
          </w:p>
        </w:tc>
        <w:tc>
          <w:tcPr>
            <w:tcW w:w="131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EE8C1FC">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tc>
        <w:tc>
          <w:tcPr>
            <w:tcW w:w="168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7BF3789">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tc>
      </w:tr>
      <w:tr w14:paraId="0D7BC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F3C11C7">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知识产权</w:t>
            </w:r>
          </w:p>
        </w:tc>
        <w:tc>
          <w:tcPr>
            <w:tcW w:w="9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62ACDA">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1、未经采购单位书面许可，供应商不得向任何第三方提供</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报告、资料、文件、用户信息等内容及服务成果。即使向履行有关的人员提供，也应注意保密并限于履行合同的必需范围。</w:t>
            </w:r>
          </w:p>
          <w:p w14:paraId="1F7B9216">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2、供应商应严格遵守相关的知识产权及软件版权保护的法律、</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"http://www.chinalawedu.com/falvfagui/" \o "法规"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法规</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；任何供应商用于未经授权的商业目的复制行为所造成的违约或侵权责任由供应商承但。</w:t>
            </w:r>
          </w:p>
          <w:p w14:paraId="2AA4F68F">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3、投标人实施服务所使用的工具、设备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配件</w:t>
            </w:r>
            <w:r>
              <w:rPr>
                <w:rFonts w:hint="eastAsia" w:ascii="宋体" w:hAnsi="宋体" w:eastAsia="宋体" w:cs="宋体"/>
                <w:color w:val="auto"/>
                <w:sz w:val="24"/>
                <w:szCs w:val="24"/>
                <w:highlight w:val="none"/>
              </w:rPr>
              <w:t>等必须为经合法销售渠道获得，若因其侵犯了第三方合法权益而引发任何纠纷或诉讼，均由投标人负责交涉并承担全部责任。</w:t>
            </w:r>
          </w:p>
        </w:tc>
        <w:tc>
          <w:tcPr>
            <w:tcW w:w="13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5A98DE">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6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86743D">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14:paraId="787CC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708F917">
            <w:pPr>
              <w:wordWrap w:val="0"/>
              <w:topLinePunct/>
              <w:snapToGrid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履约保证金</w:t>
            </w:r>
          </w:p>
          <w:p w14:paraId="40374EDA">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97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65CAA3">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履约保证金金额及递交方式：签订合同前，中标人按合同金额的2%向采购人支付履约保证金或银行、担保机构出具的同等额度的履约保函（按《广西壮族自治区财政厅关于在政府采购活动中推广使用电子保函的通知》要求，鼓励供应商采用电子保函的形式。采用电子保函的，供应商可通过 “广西政府采购金融服务平台”（https://jinrong.zcygov.cn/finance/gx）在线方式完成保函申请）。</w:t>
            </w:r>
          </w:p>
          <w:p w14:paraId="3C76CD2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履约保证金退付方式、时间及条件：履约保证金在项目履约期满后，如无质量纠纷，经中标人申请，采购人完成退付手续后十五个工作日内免息退回履约保证金（按合同约定被扣除的除外）。中标人若不能完全履行合同，履约保证金不返还。中标供应商按实际损失赔偿。采购人有权直接从履约保证金里扣除中标供应商应当承担的违约金。由中标人向履约保证金收取单位提供《服务验收书》，履约保证金收取单位在收到合格材料后15个工作日内办理退还手续（不计利息）。</w:t>
            </w:r>
          </w:p>
          <w:p w14:paraId="569ADF53">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履约保证金指定账户： </w:t>
            </w:r>
          </w:p>
          <w:p w14:paraId="2BDA5661">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开户名：广西医科大学第一附属医院</w:t>
            </w:r>
          </w:p>
          <w:p w14:paraId="2A784764">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账号：45001604560050501061</w:t>
            </w:r>
          </w:p>
          <w:p w14:paraId="0F34349A">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开户行：中国建设银行股份有限公司南宁医科大支行</w:t>
            </w:r>
          </w:p>
          <w:p w14:paraId="41AE378D">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备注：</w:t>
            </w:r>
          </w:p>
          <w:p w14:paraId="5AD7BFBB">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1.根据《桂财规〔2022〕8号 广西壮族自治区财政厅关于规范政府采购货物和服务项目保证金管理的通知》规定，采购文件要求中标或者中标人提交履约保证金的，履约保证金数额不得超过政府采购合同金额的5%，对中小企业收取的履约保证金数额不得超过政府采购合同金额的2%。</w:t>
            </w:r>
          </w:p>
          <w:p w14:paraId="72A84879">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487B227F">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SA"/>
              </w:rPr>
              <w:t>3.采用银行、保险机构出具的保函（含电子保函）的，必须为无条件保函，否则不予签订合同。</w:t>
            </w:r>
          </w:p>
        </w:tc>
        <w:tc>
          <w:tcPr>
            <w:tcW w:w="13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D84CF2">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p>
        </w:tc>
        <w:tc>
          <w:tcPr>
            <w:tcW w:w="16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6259D4">
            <w:pPr>
              <w:keepNext w:val="0"/>
              <w:keepLines w:val="0"/>
              <w:pageBreakBefore w:val="0"/>
              <w:tabs>
                <w:tab w:val="left" w:pos="720"/>
              </w:tabs>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SA"/>
              </w:rPr>
            </w:pPr>
          </w:p>
        </w:tc>
      </w:tr>
    </w:tbl>
    <w:p w14:paraId="2112DE7E">
      <w:pPr>
        <w:pStyle w:val="3"/>
        <w:rPr>
          <w:rFonts w:hint="default" w:ascii="宋体" w:hAnsi="宋体" w:eastAsia="宋体" w:cs="宋体"/>
          <w:b/>
          <w:bCs/>
          <w:kern w:val="2"/>
          <w:sz w:val="28"/>
          <w:szCs w:val="28"/>
          <w:lang w:val="en-US" w:eastAsia="zh-CN" w:bidi="ar-SA"/>
        </w:rPr>
        <w:sectPr>
          <w:pgSz w:w="16838" w:h="11906" w:orient="landscape"/>
          <w:pgMar w:top="1800" w:right="1440" w:bottom="1800" w:left="1440" w:header="851" w:footer="992" w:gutter="0"/>
          <w:cols w:space="425" w:num="1"/>
          <w:docGrid w:type="lines" w:linePitch="312" w:charSpace="0"/>
        </w:sectPr>
      </w:pPr>
    </w:p>
    <w:p w14:paraId="10E34DAE">
      <w:pPr>
        <w:pStyle w:val="3"/>
        <w:numPr>
          <w:ilvl w:val="0"/>
          <w:numId w:val="0"/>
        </w:numPr>
        <w:ind w:left="0" w:leftChars="0" w:firstLine="0" w:firstLineChars="0"/>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5、报价单</w:t>
      </w:r>
    </w:p>
    <w:p w14:paraId="7FBE5AAA">
      <w:pPr>
        <w:pStyle w:val="3"/>
        <w:rPr>
          <w:rFonts w:hint="eastAsia"/>
          <w:lang w:val="en-US" w:eastAsia="zh-CN"/>
        </w:rPr>
      </w:pP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736"/>
        <w:gridCol w:w="1640"/>
        <w:gridCol w:w="2294"/>
        <w:gridCol w:w="1060"/>
      </w:tblGrid>
      <w:tr w14:paraId="3834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462" w:type="pct"/>
            <w:tcBorders>
              <w:top w:val="single" w:color="auto" w:sz="4" w:space="0"/>
              <w:left w:val="single" w:color="auto" w:sz="4" w:space="0"/>
              <w:bottom w:val="single" w:color="auto" w:sz="4" w:space="0"/>
              <w:right w:val="single" w:color="auto" w:sz="4" w:space="0"/>
            </w:tcBorders>
            <w:noWrap w:val="0"/>
            <w:vAlign w:val="center"/>
          </w:tcPr>
          <w:p w14:paraId="4608491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06" w:type="pct"/>
            <w:tcBorders>
              <w:top w:val="single" w:color="auto" w:sz="4" w:space="0"/>
              <w:left w:val="single" w:color="auto" w:sz="4" w:space="0"/>
              <w:bottom w:val="single" w:color="auto" w:sz="4" w:space="0"/>
              <w:right w:val="single" w:color="auto" w:sz="4" w:space="0"/>
            </w:tcBorders>
            <w:noWrap w:val="0"/>
            <w:vAlign w:val="center"/>
          </w:tcPr>
          <w:p w14:paraId="3151C6D2">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标的的名称</w:t>
            </w:r>
          </w:p>
        </w:tc>
        <w:tc>
          <w:tcPr>
            <w:tcW w:w="963" w:type="pct"/>
            <w:tcBorders>
              <w:top w:val="single" w:color="auto" w:sz="4" w:space="0"/>
              <w:left w:val="single" w:color="auto" w:sz="4" w:space="0"/>
              <w:bottom w:val="single" w:color="auto" w:sz="4" w:space="0"/>
              <w:right w:val="single" w:color="auto" w:sz="4" w:space="0"/>
            </w:tcBorders>
            <w:noWrap w:val="0"/>
            <w:vAlign w:val="center"/>
          </w:tcPr>
          <w:p w14:paraId="562ECCF9">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cs="宋体"/>
                <w:b/>
                <w:bCs/>
                <w:i w:val="0"/>
                <w:iCs w:val="0"/>
                <w:color w:val="auto"/>
                <w:kern w:val="0"/>
                <w:sz w:val="24"/>
                <w:szCs w:val="24"/>
                <w:highlight w:val="none"/>
                <w:u w:val="none"/>
                <w:lang w:val="en-US" w:eastAsia="zh-CN" w:bidi="ar"/>
              </w:rPr>
              <w:t>单价</w:t>
            </w:r>
            <w:r>
              <w:rPr>
                <w:rFonts w:hint="eastAsia" w:ascii="宋体" w:hAnsi="宋体" w:eastAsia="宋体" w:cs="宋体"/>
                <w:b/>
                <w:bCs/>
                <w:i w:val="0"/>
                <w:iCs w:val="0"/>
                <w:color w:val="auto"/>
                <w:kern w:val="0"/>
                <w:sz w:val="24"/>
                <w:szCs w:val="24"/>
                <w:highlight w:val="none"/>
                <w:u w:val="none"/>
                <w:lang w:val="en-US" w:eastAsia="zh-CN" w:bidi="ar"/>
              </w:rPr>
              <w:t>（元</w:t>
            </w:r>
            <w:r>
              <w:rPr>
                <w:rFonts w:hint="eastAsia" w:ascii="宋体" w:hAnsi="宋体" w:cs="宋体"/>
                <w:b/>
                <w:bCs/>
                <w:i w:val="0"/>
                <w:iCs w:val="0"/>
                <w:color w:val="auto"/>
                <w:kern w:val="0"/>
                <w:sz w:val="24"/>
                <w:szCs w:val="24"/>
                <w:highlight w:val="none"/>
                <w:u w:val="none"/>
                <w:lang w:val="en-US" w:eastAsia="zh-CN" w:bidi="ar"/>
              </w:rPr>
              <w:t>/月</w:t>
            </w:r>
            <w:r>
              <w:rPr>
                <w:rFonts w:hint="eastAsia" w:ascii="宋体" w:hAnsi="宋体" w:eastAsia="宋体" w:cs="宋体"/>
                <w:b/>
                <w:bCs/>
                <w:i w:val="0"/>
                <w:iCs w:val="0"/>
                <w:color w:val="auto"/>
                <w:kern w:val="0"/>
                <w:sz w:val="24"/>
                <w:szCs w:val="24"/>
                <w:highlight w:val="none"/>
                <w:u w:val="none"/>
                <w:lang w:val="en-US" w:eastAsia="zh-CN" w:bidi="ar"/>
              </w:rPr>
              <w:t>）</w:t>
            </w:r>
          </w:p>
        </w:tc>
        <w:tc>
          <w:tcPr>
            <w:tcW w:w="1347" w:type="pct"/>
            <w:tcBorders>
              <w:top w:val="single" w:color="auto" w:sz="4" w:space="0"/>
              <w:left w:val="single" w:color="auto" w:sz="4" w:space="0"/>
              <w:bottom w:val="single" w:color="auto" w:sz="4" w:space="0"/>
              <w:right w:val="single" w:color="auto" w:sz="4" w:space="0"/>
            </w:tcBorders>
            <w:noWrap w:val="0"/>
            <w:vAlign w:val="center"/>
          </w:tcPr>
          <w:p w14:paraId="0631F4E8">
            <w:pPr>
              <w:keepNext w:val="0"/>
              <w:keepLines w:val="0"/>
              <w:widowControl/>
              <w:suppressLineNumbers w:val="0"/>
              <w:jc w:val="center"/>
              <w:textAlignment w:val="center"/>
              <w:rPr>
                <w:rFonts w:hint="eastAsia" w:ascii="宋体" w:hAnsi="宋体" w:eastAsia="宋体" w:cs="宋体"/>
                <w:color w:val="auto"/>
                <w:sz w:val="24"/>
                <w:highlight w:val="none"/>
              </w:rPr>
            </w:pPr>
            <w:r>
              <w:rPr>
                <w:rFonts w:hint="eastAsia" w:ascii="宋体" w:hAnsi="宋体" w:cs="宋体"/>
                <w:b/>
                <w:bCs/>
                <w:i w:val="0"/>
                <w:iCs w:val="0"/>
                <w:color w:val="auto"/>
                <w:kern w:val="0"/>
                <w:sz w:val="24"/>
                <w:szCs w:val="24"/>
                <w:highlight w:val="none"/>
                <w:u w:val="none"/>
                <w:lang w:val="en-US" w:eastAsia="zh-CN" w:bidi="ar"/>
              </w:rPr>
              <w:t>一年</w:t>
            </w:r>
            <w:r>
              <w:rPr>
                <w:rFonts w:hint="eastAsia" w:ascii="宋体" w:hAnsi="宋体" w:eastAsia="宋体" w:cs="宋体"/>
                <w:b/>
                <w:bCs/>
                <w:i w:val="0"/>
                <w:iCs w:val="0"/>
                <w:color w:val="auto"/>
                <w:kern w:val="0"/>
                <w:sz w:val="24"/>
                <w:szCs w:val="24"/>
                <w:highlight w:val="none"/>
                <w:u w:val="none"/>
                <w:lang w:val="en-US" w:eastAsia="zh-CN" w:bidi="ar"/>
              </w:rPr>
              <w:t>总价（元）</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48FFC81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3BDF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462" w:type="pct"/>
            <w:tcBorders>
              <w:top w:val="single" w:color="auto" w:sz="4" w:space="0"/>
              <w:left w:val="single" w:color="auto" w:sz="4" w:space="0"/>
              <w:bottom w:val="single" w:color="auto" w:sz="4" w:space="0"/>
              <w:right w:val="single" w:color="auto" w:sz="4" w:space="0"/>
            </w:tcBorders>
            <w:noWrap w:val="0"/>
            <w:vAlign w:val="center"/>
          </w:tcPr>
          <w:p w14:paraId="72CBAE8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06" w:type="pct"/>
            <w:tcBorders>
              <w:top w:val="single" w:color="auto" w:sz="4" w:space="0"/>
              <w:left w:val="single" w:color="auto" w:sz="4" w:space="0"/>
              <w:bottom w:val="single" w:color="auto" w:sz="4" w:space="0"/>
              <w:right w:val="single" w:color="auto" w:sz="4" w:space="0"/>
            </w:tcBorders>
            <w:noWrap w:val="0"/>
            <w:vAlign w:val="center"/>
          </w:tcPr>
          <w:p w14:paraId="63FE4B6A">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变配电系统维保服务</w:t>
            </w:r>
          </w:p>
        </w:tc>
        <w:tc>
          <w:tcPr>
            <w:tcW w:w="963" w:type="pct"/>
            <w:tcBorders>
              <w:top w:val="single" w:color="auto" w:sz="4" w:space="0"/>
              <w:left w:val="single" w:color="auto" w:sz="4" w:space="0"/>
              <w:bottom w:val="single" w:color="auto" w:sz="4" w:space="0"/>
              <w:right w:val="single" w:color="auto" w:sz="4" w:space="0"/>
            </w:tcBorders>
            <w:noWrap w:val="0"/>
            <w:vAlign w:val="top"/>
          </w:tcPr>
          <w:p w14:paraId="6B38F5B0">
            <w:pPr>
              <w:spacing w:line="360" w:lineRule="auto"/>
              <w:rPr>
                <w:rFonts w:hint="eastAsia" w:ascii="宋体" w:hAnsi="宋体" w:eastAsia="宋体" w:cs="宋体"/>
                <w:color w:val="auto"/>
                <w:sz w:val="24"/>
                <w:highlight w:val="none"/>
              </w:rPr>
            </w:pPr>
          </w:p>
        </w:tc>
        <w:tc>
          <w:tcPr>
            <w:tcW w:w="1347" w:type="pct"/>
            <w:tcBorders>
              <w:top w:val="single" w:color="auto" w:sz="4" w:space="0"/>
              <w:left w:val="single" w:color="auto" w:sz="4" w:space="0"/>
              <w:bottom w:val="single" w:color="auto" w:sz="4" w:space="0"/>
              <w:right w:val="single" w:color="auto" w:sz="4" w:space="0"/>
            </w:tcBorders>
            <w:noWrap w:val="0"/>
            <w:vAlign w:val="top"/>
          </w:tcPr>
          <w:p w14:paraId="62A7F502">
            <w:pPr>
              <w:spacing w:line="360" w:lineRule="auto"/>
              <w:rPr>
                <w:rFonts w:hint="eastAsia" w:ascii="宋体" w:hAnsi="宋体" w:eastAsia="宋体" w:cs="宋体"/>
                <w:color w:val="auto"/>
                <w:sz w:val="24"/>
                <w:highlight w:val="none"/>
              </w:rPr>
            </w:pPr>
          </w:p>
        </w:tc>
        <w:tc>
          <w:tcPr>
            <w:tcW w:w="619" w:type="pct"/>
            <w:tcBorders>
              <w:top w:val="single" w:color="auto" w:sz="4" w:space="0"/>
              <w:left w:val="single" w:color="auto" w:sz="4" w:space="0"/>
              <w:bottom w:val="single" w:color="auto" w:sz="4" w:space="0"/>
              <w:right w:val="single" w:color="auto" w:sz="4" w:space="0"/>
            </w:tcBorders>
            <w:noWrap w:val="0"/>
            <w:vAlign w:val="center"/>
          </w:tcPr>
          <w:p w14:paraId="17CD4035">
            <w:pPr>
              <w:spacing w:line="360" w:lineRule="auto"/>
              <w:rPr>
                <w:rFonts w:hint="eastAsia" w:ascii="宋体" w:hAnsi="宋体" w:eastAsia="宋体" w:cs="宋体"/>
                <w:color w:val="auto"/>
                <w:sz w:val="24"/>
                <w:highlight w:val="none"/>
              </w:rPr>
            </w:pPr>
          </w:p>
        </w:tc>
      </w:tr>
      <w:tr w14:paraId="3462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67B793E6">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合计金额大写：人民币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bl>
    <w:p w14:paraId="567F0A8B">
      <w:pPr>
        <w:pStyle w:val="3"/>
        <w:spacing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kern w:val="2"/>
          <w:sz w:val="24"/>
          <w:szCs w:val="24"/>
          <w:highlight w:val="none"/>
          <w:lang w:val="en-US" w:eastAsia="zh-CN" w:bidi="ar-SA"/>
        </w:rPr>
        <w:t>提示：供应商报价时应充分考虑各项投标成本、税金等与本项目相关的一切费用，以及未来市场价格变动等风险。</w:t>
      </w:r>
    </w:p>
    <w:p w14:paraId="6B1E4CE9">
      <w:pPr>
        <w:numPr>
          <w:ilvl w:val="0"/>
          <w:numId w:val="0"/>
        </w:numPr>
        <w:snapToGrid w:val="0"/>
        <w:spacing w:before="50" w:afterLines="50"/>
        <w:ind w:left="0" w:leftChars="0" w:firstLine="0" w:firstLineChars="0"/>
        <w:jc w:val="left"/>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6、</w:t>
      </w:r>
      <w:r>
        <w:rPr>
          <w:rFonts w:hint="eastAsia" w:ascii="宋体" w:hAnsi="宋体" w:eastAsia="宋体" w:cs="宋体"/>
          <w:b/>
          <w:bCs/>
          <w:sz w:val="28"/>
          <w:szCs w:val="28"/>
          <w:lang w:val="en-US" w:eastAsia="zh-CN"/>
        </w:rPr>
        <w:t>提供自2023年1月1日以来同类项目业绩至少三份（提供合同关键页、成交公告等证明材料）</w:t>
      </w:r>
    </w:p>
    <w:p w14:paraId="07ACA2DB">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C416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16A4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716A4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A855BA"/>
    <w:multiLevelType w:val="multilevel"/>
    <w:tmpl w:val="3BA855BA"/>
    <w:lvl w:ilvl="0" w:tentative="0">
      <w:start w:val="1"/>
      <w:numFmt w:val="decimal"/>
      <w:pStyle w:val="4"/>
      <w:suff w:val="space"/>
      <w:lvlText w:val="%1."/>
      <w:lvlJc w:val="left"/>
      <w:pPr>
        <w:ind w:left="0" w:firstLine="0"/>
      </w:pPr>
      <w:rPr>
        <w:rFonts w:hint="eastAsia" w:ascii="宋体" w:hAnsi="宋体" w:eastAsia="宋体"/>
        <w:b/>
        <w:bCs w:val="0"/>
        <w:i w:val="0"/>
        <w:iCs w:val="0"/>
        <w:caps w:val="0"/>
        <w:smallCaps w:val="0"/>
        <w:strike w:val="0"/>
        <w:dstrike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pStyle w:val="5"/>
      <w:suff w:val="space"/>
      <w:lvlText w:val="%1.%2."/>
      <w:lvlJc w:val="left"/>
      <w:pPr>
        <w:ind w:left="0" w:firstLine="0"/>
      </w:pPr>
      <w:rPr>
        <w:rFonts w:hint="eastAsia" w:ascii="宋体" w:hAnsi="宋体" w:eastAsia="宋体"/>
        <w:b/>
        <w:bCs w:val="0"/>
        <w:i w:val="0"/>
        <w:iCs w:val="0"/>
        <w:caps w:val="0"/>
        <w:smallCaps w:val="0"/>
        <w:strike w:val="0"/>
        <w:dstrike w:val="0"/>
        <w:vanish w:val="0"/>
        <w:spacing w:val="0"/>
        <w:position w:val="0"/>
        <w:sz w:val="24"/>
        <w:szCs w:val="24"/>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suff w:val="space"/>
      <w:lvlText w:val="%1.%2.%3."/>
      <w:lvlJc w:val="left"/>
      <w:pPr>
        <w:ind w:left="0" w:firstLine="0"/>
      </w:pPr>
      <w:rPr>
        <w:b/>
        <w:bCs w:val="0"/>
        <w:i w:val="0"/>
        <w:iCs w:val="0"/>
        <w:caps w:val="0"/>
        <w:smallCaps w:val="0"/>
        <w:strike w:val="0"/>
        <w:dstrike w:val="0"/>
        <w:vanish w:val="0"/>
        <w:spacing w:val="0"/>
        <w:position w:val="0"/>
        <w:sz w:val="24"/>
        <w:szCs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space"/>
      <w:lvlText w:val="%1.%2.%3.%4."/>
      <w:lvlJc w:val="left"/>
      <w:pPr>
        <w:ind w:left="0" w:firstLine="0"/>
      </w:pPr>
      <w:rPr>
        <w:rFonts w:hint="eastAsia" w:ascii="宋体" w:hAnsi="宋体" w:eastAsia="宋体"/>
        <w:b/>
        <w:i w:val="0"/>
        <w:color w:val="auto"/>
        <w:sz w:val="24"/>
        <w:szCs w:val="30"/>
      </w:rPr>
    </w:lvl>
    <w:lvl w:ilvl="4" w:tentative="0">
      <w:start w:val="1"/>
      <w:numFmt w:val="decimal"/>
      <w:suff w:val="space"/>
      <w:lvlText w:val="%1.%2.%3.%4.%5."/>
      <w:lvlJc w:val="left"/>
      <w:pPr>
        <w:ind w:left="0" w:firstLine="0"/>
      </w:pPr>
      <w:rPr>
        <w:rFonts w:hint="eastAsia" w:ascii="宋体" w:hAnsi="宋体" w:eastAsia="宋体"/>
        <w:b/>
        <w:i w:val="0"/>
        <w:sz w:val="24"/>
        <w:szCs w:val="28"/>
      </w:rPr>
    </w:lvl>
    <w:lvl w:ilvl="5" w:tentative="0">
      <w:start w:val="1"/>
      <w:numFmt w:val="decimal"/>
      <w:suff w:val="space"/>
      <w:lvlText w:val="%1.%2.%3.%4.%5.%6."/>
      <w:lvlJc w:val="left"/>
      <w:pPr>
        <w:ind w:left="0" w:firstLine="0"/>
      </w:pPr>
      <w:rPr>
        <w:rFonts w:hint="eastAsia" w:ascii="宋体" w:hAnsi="宋体" w:eastAsia="宋体"/>
        <w:b/>
        <w:i w:val="0"/>
        <w:sz w:val="24"/>
        <w:szCs w:val="28"/>
      </w:rPr>
    </w:lvl>
    <w:lvl w:ilvl="6" w:tentative="0">
      <w:start w:val="1"/>
      <w:numFmt w:val="decimal"/>
      <w:suff w:val="space"/>
      <w:lvlText w:val="%1.%2.%3.%4.%5.%6.%7."/>
      <w:lvlJc w:val="left"/>
      <w:pPr>
        <w:ind w:left="0" w:firstLine="0"/>
      </w:pPr>
      <w:rPr>
        <w:rFonts w:hint="eastAsia" w:ascii="宋体" w:hAnsi="宋体" w:eastAsia="宋体"/>
        <w:b/>
        <w:i w:val="0"/>
        <w:sz w:val="24"/>
        <w:szCs w:val="28"/>
      </w:rPr>
    </w:lvl>
    <w:lvl w:ilvl="7" w:tentative="0">
      <w:start w:val="1"/>
      <w:numFmt w:val="decimal"/>
      <w:suff w:val="space"/>
      <w:lvlText w:val="%1.%2.%3.%4.%5.%6.%7.%8."/>
      <w:lvlJc w:val="left"/>
      <w:pPr>
        <w:ind w:left="0" w:firstLine="0"/>
      </w:pPr>
      <w:rPr>
        <w:rFonts w:hint="eastAsia" w:ascii="宋体" w:hAnsi="宋体" w:eastAsia="宋体"/>
        <w:b/>
        <w:i w:val="0"/>
        <w:sz w:val="24"/>
        <w:szCs w:val="28"/>
      </w:rPr>
    </w:lvl>
    <w:lvl w:ilvl="8" w:tentative="0">
      <w:start w:val="1"/>
      <w:numFmt w:val="decimal"/>
      <w:suff w:val="space"/>
      <w:lvlText w:val="%1.%2.%3.%4.%5.%6.%7.%8.%9."/>
      <w:lvlJc w:val="left"/>
      <w:pPr>
        <w:ind w:left="0" w:firstLine="0"/>
      </w:pPr>
      <w:rPr>
        <w:rFonts w:hint="eastAsia" w:ascii="宋体" w:hAnsi="宋体" w:eastAsia="宋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052E0"/>
    <w:rsid w:val="001F1D2C"/>
    <w:rsid w:val="011949CD"/>
    <w:rsid w:val="02380E83"/>
    <w:rsid w:val="04357D70"/>
    <w:rsid w:val="04402271"/>
    <w:rsid w:val="04AC5B58"/>
    <w:rsid w:val="06C54CB0"/>
    <w:rsid w:val="06EB0BBA"/>
    <w:rsid w:val="074B37C3"/>
    <w:rsid w:val="089052E0"/>
    <w:rsid w:val="09F558AC"/>
    <w:rsid w:val="0BCB0FBA"/>
    <w:rsid w:val="0DE325EB"/>
    <w:rsid w:val="0E9C09EC"/>
    <w:rsid w:val="12042B30"/>
    <w:rsid w:val="12A8795F"/>
    <w:rsid w:val="172A4DE7"/>
    <w:rsid w:val="18357EE7"/>
    <w:rsid w:val="18E15979"/>
    <w:rsid w:val="1BC81072"/>
    <w:rsid w:val="1D0460DA"/>
    <w:rsid w:val="1DA8087E"/>
    <w:rsid w:val="1E960FB4"/>
    <w:rsid w:val="1FB060A5"/>
    <w:rsid w:val="217C0935"/>
    <w:rsid w:val="21DC7625"/>
    <w:rsid w:val="22032E04"/>
    <w:rsid w:val="245060A9"/>
    <w:rsid w:val="245E4322"/>
    <w:rsid w:val="24833D88"/>
    <w:rsid w:val="24C85C3F"/>
    <w:rsid w:val="269B185D"/>
    <w:rsid w:val="29543F45"/>
    <w:rsid w:val="2A007C29"/>
    <w:rsid w:val="2C98384E"/>
    <w:rsid w:val="324E1E79"/>
    <w:rsid w:val="368045CB"/>
    <w:rsid w:val="377C2398"/>
    <w:rsid w:val="37CB7AC8"/>
    <w:rsid w:val="380354B4"/>
    <w:rsid w:val="383A3D2C"/>
    <w:rsid w:val="39FF3A59"/>
    <w:rsid w:val="3D8C7CFA"/>
    <w:rsid w:val="3E263682"/>
    <w:rsid w:val="409C64A6"/>
    <w:rsid w:val="43747266"/>
    <w:rsid w:val="44452BF4"/>
    <w:rsid w:val="446C5B48"/>
    <w:rsid w:val="47105738"/>
    <w:rsid w:val="4B492513"/>
    <w:rsid w:val="4CC93F80"/>
    <w:rsid w:val="4EC96010"/>
    <w:rsid w:val="4F824AB9"/>
    <w:rsid w:val="4FBD51B4"/>
    <w:rsid w:val="50F10148"/>
    <w:rsid w:val="52E00474"/>
    <w:rsid w:val="543C3DD0"/>
    <w:rsid w:val="5AE20B01"/>
    <w:rsid w:val="60B82CFB"/>
    <w:rsid w:val="63626A16"/>
    <w:rsid w:val="63C11BFC"/>
    <w:rsid w:val="65BC6B1F"/>
    <w:rsid w:val="65C92FEA"/>
    <w:rsid w:val="673E5311"/>
    <w:rsid w:val="69D837FB"/>
    <w:rsid w:val="6B405AFC"/>
    <w:rsid w:val="6D5244DD"/>
    <w:rsid w:val="71386638"/>
    <w:rsid w:val="75041948"/>
    <w:rsid w:val="76517FC1"/>
    <w:rsid w:val="765E152C"/>
    <w:rsid w:val="79EC2A16"/>
    <w:rsid w:val="7AB94F83"/>
    <w:rsid w:val="7B233DE1"/>
    <w:rsid w:val="7B5926BB"/>
    <w:rsid w:val="7C510185"/>
    <w:rsid w:val="7CD460A4"/>
    <w:rsid w:val="7E01111B"/>
    <w:rsid w:val="7E17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next w:val="1"/>
    <w:qFormat/>
    <w:uiPriority w:val="0"/>
    <w:pPr>
      <w:numPr>
        <w:ilvl w:val="0"/>
        <w:numId w:val="1"/>
      </w:numPr>
      <w:spacing w:before="50" w:beforeLines="50" w:after="50" w:afterLines="50" w:line="360" w:lineRule="auto"/>
      <w:outlineLvl w:val="0"/>
    </w:pPr>
    <w:rPr>
      <w:rFonts w:ascii="仿宋_GB2312" w:hAnsi="Times New Roman" w:eastAsia="宋体" w:cstheme="minorBidi"/>
      <w:b/>
      <w:bCs/>
      <w:kern w:val="44"/>
      <w:sz w:val="32"/>
      <w:szCs w:val="44"/>
      <w:lang w:val="en-US" w:eastAsia="zh-CN" w:bidi="ar-SA"/>
    </w:rPr>
  </w:style>
  <w:style w:type="paragraph" w:styleId="5">
    <w:name w:val="heading 2"/>
    <w:next w:val="1"/>
    <w:qFormat/>
    <w:uiPriority w:val="0"/>
    <w:pPr>
      <w:numPr>
        <w:ilvl w:val="1"/>
        <w:numId w:val="1"/>
      </w:numPr>
      <w:spacing w:before="50" w:beforeLines="50" w:after="50" w:afterLines="50" w:line="360" w:lineRule="auto"/>
      <w:outlineLvl w:val="1"/>
    </w:pPr>
    <w:rPr>
      <w:rFonts w:ascii="仿宋_GB2312" w:hAnsi="Arial" w:eastAsia="宋体" w:cstheme="majorBidi"/>
      <w:b/>
      <w:bCs/>
      <w:kern w:val="2"/>
      <w:sz w:val="30"/>
      <w:szCs w:val="3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Indent"/>
    <w:basedOn w:val="1"/>
    <w:qFormat/>
    <w:uiPriority w:val="0"/>
    <w:pPr>
      <w:ind w:firstLine="830" w:firstLineChars="352"/>
    </w:pPr>
    <w:rPr>
      <w:rFonts w:ascii="仿宋_GB2312" w:eastAsia="仿宋_GB2312"/>
      <w:kern w:val="0"/>
      <w:sz w:val="32"/>
      <w:szCs w:val="20"/>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3"/>
    <w:next w:val="1"/>
    <w:qFormat/>
    <w:uiPriority w:val="0"/>
    <w:pPr>
      <w:spacing w:after="120"/>
      <w:ind w:left="420" w:leftChars="200" w:firstLine="210" w:firstLineChars="200"/>
    </w:pPr>
    <w:rPr>
      <w:rFonts w:ascii="宋体" w:hAnsi="宋体"/>
      <w:kern w:val="2"/>
      <w:sz w:val="2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paragraph" w:styleId="17">
    <w:name w:val="List Paragraph"/>
    <w:basedOn w:val="1"/>
    <w:qFormat/>
    <w:uiPriority w:val="34"/>
    <w:pPr>
      <w:ind w:firstLine="420"/>
    </w:pPr>
    <w:rPr>
      <w:rFonts w:ascii="仿宋_GB2312" w:hAnsi="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8067</Words>
  <Characters>8339</Characters>
  <Lines>0</Lines>
  <Paragraphs>0</Paragraphs>
  <TotalTime>51</TotalTime>
  <ScaleCrop>false</ScaleCrop>
  <LinksUpToDate>false</LinksUpToDate>
  <CharactersWithSpaces>8412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2025-03-26T09:18:00Z</dcterms:created>
  <dc:creator>芥川</dc:creator>
  <cp:lastModifiedBy>芥川</cp:lastModifiedBy>
  <dcterms:modified xsi:type="dcterms:W3CDTF">2025-04-24T00:47:43Z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B14EBB956E9B4395B7DC4E9C09B6DBB7_13</vt:lpwstr>
  </property>
  <property fmtid="{D5CDD505-2E9C-101B-9397-08002B2CF9AE}" pid="4" name="KSOTemplateDocerSaveRecord">
    <vt:lpwstr>eyJoZGlkIjoiZmM3ZTQ3ZmYxY2MzYTFkODg2OTU0YmEwZmQzMGYyZDkiLCJ1c2VySWQiOiIyNTM3MzMxNjMifQ==</vt:lpwstr>
  </property>
</Properties>
</file>