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EBAF0">
      <w:pPr>
        <w:shd w:val="clear" w:color="auto" w:fill="FFFFFF" w:themeFill="background1"/>
        <w:spacing w:before="120" w:beforeLines="50" w:line="360" w:lineRule="auto"/>
        <w:jc w:val="center"/>
        <w:rPr>
          <w:rFonts w:ascii="宋体" w:hAnsi="宋体" w:cs="宋体"/>
          <w:color w:val="auto"/>
          <w:sz w:val="52"/>
          <w:szCs w:val="52"/>
          <w:highlight w:val="none"/>
        </w:rPr>
      </w:pPr>
    </w:p>
    <w:p w14:paraId="0E08BC34">
      <w:pPr>
        <w:shd w:val="clear" w:color="auto" w:fill="FFFFFF" w:themeFill="background1"/>
        <w:spacing w:before="120" w:beforeLines="50" w:line="360" w:lineRule="auto"/>
        <w:jc w:val="center"/>
        <w:rPr>
          <w:rFonts w:ascii="宋体" w:hAnsi="宋体" w:cs="宋体"/>
          <w:b/>
          <w:color w:val="auto"/>
          <w:sz w:val="200"/>
          <w:szCs w:val="200"/>
          <w:highlight w:val="none"/>
        </w:rPr>
      </w:pPr>
      <w:r>
        <w:rPr>
          <w:rFonts w:hint="eastAsia" w:ascii="宋体" w:hAnsi="宋体" w:cs="宋体"/>
          <w:b/>
          <w:bCs/>
          <w:color w:val="auto"/>
          <w:sz w:val="72"/>
          <w:szCs w:val="72"/>
          <w:highlight w:val="none"/>
        </w:rPr>
        <w:t>广西科联招标中心有限公司</w:t>
      </w:r>
    </w:p>
    <w:p w14:paraId="0C43806D">
      <w:pPr>
        <w:shd w:val="clear" w:color="auto" w:fill="FFFFFF" w:themeFill="background1"/>
        <w:spacing w:before="120" w:beforeLines="50" w:line="360" w:lineRule="auto"/>
        <w:jc w:val="center"/>
        <w:rPr>
          <w:rFonts w:ascii="宋体" w:hAnsi="宋体" w:cs="宋体"/>
          <w:b/>
          <w:color w:val="auto"/>
          <w:sz w:val="48"/>
          <w:szCs w:val="48"/>
          <w:highlight w:val="none"/>
        </w:rPr>
      </w:pPr>
    </w:p>
    <w:p w14:paraId="390E1737">
      <w:pPr>
        <w:shd w:val="clear" w:color="auto" w:fill="FFFFFF" w:themeFill="background1"/>
        <w:snapToGrid w:val="0"/>
        <w:spacing w:before="120" w:beforeLines="50" w:line="360" w:lineRule="auto"/>
        <w:jc w:val="center"/>
        <w:rPr>
          <w:rFonts w:ascii="宋体" w:hAnsi="宋体" w:cs="宋体"/>
          <w:color w:val="auto"/>
          <w:sz w:val="72"/>
          <w:szCs w:val="72"/>
          <w:highlight w:val="none"/>
        </w:rPr>
      </w:pPr>
      <w:r>
        <w:rPr>
          <w:rFonts w:hint="eastAsia" w:ascii="宋体" w:hAnsi="宋体" w:cs="宋体"/>
          <w:color w:val="auto"/>
          <w:sz w:val="110"/>
          <w:szCs w:val="110"/>
          <w:highlight w:val="none"/>
        </w:rPr>
        <w:t>招 标 文 件</w:t>
      </w:r>
    </w:p>
    <w:p w14:paraId="7B25FADB">
      <w:pPr>
        <w:shd w:val="clear" w:color="auto" w:fill="FFFFFF" w:themeFill="background1"/>
        <w:snapToGrid w:val="0"/>
        <w:spacing w:before="120" w:beforeLines="50" w:line="360" w:lineRule="auto"/>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130083E5">
      <w:pPr>
        <w:shd w:val="clear" w:color="auto" w:fill="FFFFFF" w:themeFill="background1"/>
        <w:snapToGrid w:val="0"/>
        <w:spacing w:before="120" w:beforeLines="50" w:line="360" w:lineRule="auto"/>
        <w:jc w:val="center"/>
        <w:rPr>
          <w:rFonts w:ascii="宋体" w:hAnsi="宋体" w:cs="宋体"/>
          <w:color w:val="auto"/>
          <w:sz w:val="30"/>
          <w:szCs w:val="72"/>
          <w:highlight w:val="none"/>
        </w:rPr>
      </w:pPr>
    </w:p>
    <w:p w14:paraId="2F02F454">
      <w:pPr>
        <w:shd w:val="clear" w:color="auto" w:fill="FFFFFF" w:themeFill="background1"/>
        <w:snapToGrid w:val="0"/>
        <w:spacing w:before="50" w:after="120" w:line="360" w:lineRule="auto"/>
        <w:jc w:val="center"/>
        <w:rPr>
          <w:rFonts w:hint="eastAsia" w:ascii="宋体" w:hAnsi="宋体" w:eastAsia="宋体" w:cs="宋体"/>
          <w:color w:val="auto"/>
          <w:sz w:val="30"/>
          <w:szCs w:val="30"/>
          <w:highlight w:val="none"/>
          <w:lang w:eastAsia="zh-CN"/>
        </w:rPr>
      </w:pPr>
      <w:r>
        <w:rPr>
          <w:rFonts w:hint="eastAsia" w:ascii="宋体" w:hAnsi="宋体" w:cs="宋体"/>
          <w:b/>
          <w:bCs/>
          <w:color w:val="auto"/>
          <w:sz w:val="30"/>
          <w:szCs w:val="30"/>
          <w:highlight w:val="none"/>
        </w:rPr>
        <w:t>项目名称：</w:t>
      </w:r>
      <w:r>
        <w:rPr>
          <w:rFonts w:hint="eastAsia" w:ascii="宋体" w:hAnsi="宋体" w:cs="宋体"/>
          <w:b/>
          <w:bCs/>
          <w:color w:val="auto"/>
          <w:sz w:val="30"/>
          <w:szCs w:val="30"/>
          <w:highlight w:val="none"/>
          <w:lang w:eastAsia="zh-CN"/>
        </w:rPr>
        <w:t>西门子超高端螺旋CT等设备维保服务（重）</w:t>
      </w:r>
    </w:p>
    <w:p w14:paraId="0FD25F8A">
      <w:pPr>
        <w:shd w:val="clear" w:color="auto" w:fill="FFFFFF" w:themeFill="background1"/>
        <w:snapToGrid w:val="0"/>
        <w:spacing w:before="50" w:after="120" w:line="360" w:lineRule="auto"/>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项目编号：</w:t>
      </w:r>
      <w:r>
        <w:rPr>
          <w:rFonts w:hint="eastAsia" w:ascii="宋体" w:hAnsi="宋体" w:cs="宋体"/>
          <w:b/>
          <w:bCs/>
          <w:color w:val="auto"/>
          <w:sz w:val="30"/>
          <w:szCs w:val="30"/>
          <w:highlight w:val="none"/>
          <w:lang w:eastAsia="zh-CN"/>
        </w:rPr>
        <w:t>GXZC2024-G3-005913-KLZB</w:t>
      </w:r>
    </w:p>
    <w:p w14:paraId="2A243141">
      <w:pPr>
        <w:shd w:val="clear" w:color="auto" w:fill="FFFFFF" w:themeFill="background1"/>
        <w:snapToGrid w:val="0"/>
        <w:spacing w:before="50" w:after="120" w:line="360" w:lineRule="auto"/>
        <w:ind w:firstLine="2576" w:firstLineChars="900"/>
        <w:rPr>
          <w:rFonts w:ascii="宋体" w:hAnsi="宋体" w:cs="宋体"/>
          <w:b/>
          <w:bCs/>
          <w:color w:val="auto"/>
          <w:w w:val="95"/>
          <w:sz w:val="30"/>
          <w:szCs w:val="30"/>
          <w:highlight w:val="none"/>
        </w:rPr>
      </w:pPr>
    </w:p>
    <w:p w14:paraId="6EB8D43C">
      <w:pPr>
        <w:pStyle w:val="15"/>
        <w:shd w:val="clear" w:color="auto" w:fill="FFFFFF" w:themeFill="background1"/>
        <w:rPr>
          <w:rFonts w:ascii="宋体" w:hAnsi="宋体" w:cs="宋体"/>
          <w:b/>
          <w:bCs/>
          <w:color w:val="auto"/>
          <w:w w:val="95"/>
          <w:sz w:val="30"/>
          <w:szCs w:val="30"/>
          <w:highlight w:val="none"/>
        </w:rPr>
      </w:pPr>
    </w:p>
    <w:p w14:paraId="23AB8E57">
      <w:pPr>
        <w:shd w:val="clear" w:color="auto" w:fill="FFFFFF" w:themeFill="background1"/>
        <w:rPr>
          <w:color w:val="auto"/>
          <w:highlight w:val="none"/>
        </w:rPr>
      </w:pPr>
    </w:p>
    <w:p w14:paraId="072E101D">
      <w:pPr>
        <w:shd w:val="clear" w:color="auto" w:fill="FFFFFF" w:themeFill="background1"/>
        <w:snapToGrid w:val="0"/>
        <w:spacing w:before="50" w:after="120" w:line="360" w:lineRule="auto"/>
        <w:ind w:firstLine="2576" w:firstLineChars="900"/>
        <w:jc w:val="center"/>
        <w:rPr>
          <w:rFonts w:ascii="宋体" w:hAnsi="宋体" w:cs="宋体"/>
          <w:b/>
          <w:bCs/>
          <w:color w:val="auto"/>
          <w:w w:val="95"/>
          <w:sz w:val="30"/>
          <w:szCs w:val="30"/>
          <w:highlight w:val="none"/>
        </w:rPr>
      </w:pPr>
    </w:p>
    <w:p w14:paraId="03278525">
      <w:pPr>
        <w:shd w:val="clear" w:color="auto" w:fill="FFFFFF" w:themeFill="background1"/>
        <w:snapToGrid w:val="0"/>
        <w:spacing w:before="50" w:after="120"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采购人：广西医科大学第二附属医院</w:t>
      </w:r>
    </w:p>
    <w:p w14:paraId="075C8592">
      <w:pPr>
        <w:shd w:val="clear" w:color="auto" w:fill="FFFFFF" w:themeFill="background1"/>
        <w:snapToGrid w:val="0"/>
        <w:spacing w:before="50" w:after="120"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采购代理机构：</w:t>
      </w:r>
      <w:bookmarkStart w:id="0" w:name="PO_3000001866_PM031"/>
      <w:r>
        <w:rPr>
          <w:rFonts w:hint="eastAsia" w:ascii="宋体" w:hAnsi="宋体" w:cs="宋体"/>
          <w:b/>
          <w:bCs/>
          <w:color w:val="auto"/>
          <w:sz w:val="30"/>
          <w:szCs w:val="30"/>
          <w:highlight w:val="none"/>
        </w:rPr>
        <w:t>广西科联招标中心有限公司</w:t>
      </w:r>
      <w:bookmarkEnd w:id="0"/>
    </w:p>
    <w:p w14:paraId="69205B94">
      <w:pPr>
        <w:shd w:val="clear" w:color="auto" w:fill="FFFFFF" w:themeFill="background1"/>
        <w:snapToGrid w:val="0"/>
        <w:spacing w:before="50" w:after="120" w:line="360" w:lineRule="auto"/>
        <w:ind w:firstLine="4293" w:firstLineChars="1500"/>
        <w:rPr>
          <w:rFonts w:ascii="宋体" w:hAnsi="宋体" w:cs="宋体"/>
          <w:b/>
          <w:bCs/>
          <w:color w:val="auto"/>
          <w:w w:val="95"/>
          <w:sz w:val="30"/>
          <w:szCs w:val="30"/>
          <w:highlight w:val="none"/>
        </w:rPr>
      </w:pPr>
    </w:p>
    <w:p w14:paraId="5DDB0607">
      <w:pPr>
        <w:pStyle w:val="13"/>
        <w:shd w:val="clear" w:color="auto" w:fill="FFFFFF" w:themeFill="background1"/>
        <w:snapToGrid w:val="0"/>
        <w:spacing w:before="50" w:after="120" w:line="360" w:lineRule="auto"/>
        <w:ind w:firstLine="4006" w:firstLineChars="1400"/>
        <w:rPr>
          <w:rFonts w:hAnsi="宋体" w:cs="宋体"/>
          <w:b/>
          <w:bCs/>
          <w:color w:val="auto"/>
          <w:w w:val="95"/>
          <w:sz w:val="30"/>
          <w:szCs w:val="30"/>
          <w:highlight w:val="none"/>
        </w:rPr>
      </w:pPr>
      <w:r>
        <w:rPr>
          <w:rFonts w:hint="eastAsia" w:hAnsi="宋体" w:cs="宋体"/>
          <w:b/>
          <w:bCs/>
          <w:color w:val="auto"/>
          <w:w w:val="95"/>
          <w:sz w:val="30"/>
          <w:szCs w:val="30"/>
          <w:highlight w:val="none"/>
        </w:rPr>
        <w:t>2024年</w:t>
      </w:r>
      <w:r>
        <w:rPr>
          <w:rFonts w:hint="eastAsia" w:hAnsi="宋体" w:cs="宋体"/>
          <w:b/>
          <w:bCs/>
          <w:color w:val="auto"/>
          <w:w w:val="95"/>
          <w:sz w:val="30"/>
          <w:szCs w:val="30"/>
          <w:highlight w:val="none"/>
          <w:lang w:val="en-US" w:eastAsia="zh-CN"/>
        </w:rPr>
        <w:t>11</w:t>
      </w:r>
      <w:r>
        <w:rPr>
          <w:rFonts w:hint="eastAsia" w:hAnsi="宋体" w:cs="宋体"/>
          <w:b/>
          <w:bCs/>
          <w:color w:val="auto"/>
          <w:w w:val="95"/>
          <w:sz w:val="30"/>
          <w:szCs w:val="30"/>
          <w:highlight w:val="none"/>
        </w:rPr>
        <w:t>月</w:t>
      </w:r>
    </w:p>
    <w:p w14:paraId="7BAC8414">
      <w:pPr>
        <w:widowControl/>
        <w:shd w:val="clear" w:color="auto" w:fill="FFFFFF" w:themeFill="background1"/>
        <w:spacing w:line="360" w:lineRule="auto"/>
        <w:rPr>
          <w:rFonts w:ascii="宋体" w:hAnsi="宋体" w:cs="宋体"/>
          <w:b/>
          <w:bCs/>
          <w:color w:val="auto"/>
          <w:w w:val="95"/>
          <w:sz w:val="30"/>
          <w:szCs w:val="30"/>
          <w:highlight w:val="none"/>
        </w:rPr>
        <w:sectPr>
          <w:pgSz w:w="11905" w:h="16838"/>
          <w:pgMar w:top="1134" w:right="1134" w:bottom="1134" w:left="1134" w:header="850" w:footer="850" w:gutter="0"/>
          <w:pgNumType w:start="1"/>
          <w:cols w:space="0" w:num="1"/>
          <w:titlePg/>
          <w:docGrid w:linePitch="331" w:charSpace="0"/>
        </w:sectPr>
      </w:pPr>
    </w:p>
    <w:p w14:paraId="4BD33633">
      <w:pPr>
        <w:pStyle w:val="13"/>
        <w:shd w:val="clear" w:color="auto" w:fill="FFFFFF" w:themeFill="background1"/>
        <w:jc w:val="center"/>
        <w:rPr>
          <w:rFonts w:hAnsi="宋体" w:cs="宋体"/>
          <w:b/>
          <w:color w:val="auto"/>
          <w:sz w:val="48"/>
          <w:szCs w:val="48"/>
          <w:highlight w:val="none"/>
        </w:rPr>
      </w:pPr>
      <w:r>
        <w:rPr>
          <w:rFonts w:hint="eastAsia" w:hAnsi="宋体" w:cs="宋体"/>
          <w:b/>
          <w:color w:val="auto"/>
          <w:sz w:val="48"/>
          <w:szCs w:val="48"/>
          <w:highlight w:val="none"/>
        </w:rPr>
        <w:t>目     录</w:t>
      </w:r>
    </w:p>
    <w:p w14:paraId="2132B282">
      <w:pPr>
        <w:pStyle w:val="17"/>
        <w:shd w:val="clear" w:color="auto" w:fill="FFFFFF" w:themeFill="background1"/>
        <w:tabs>
          <w:tab w:val="right" w:leader="dot" w:pos="9637"/>
        </w:tabs>
        <w:rPr>
          <w:rFonts w:ascii="宋体" w:hAnsi="宋体" w:cs="宋体"/>
          <w:color w:val="auto"/>
          <w:highlight w:val="none"/>
        </w:rPr>
      </w:pPr>
    </w:p>
    <w:p w14:paraId="262E603E">
      <w:pPr>
        <w:pStyle w:val="17"/>
        <w:shd w:val="clear" w:color="auto" w:fill="FFFFFF" w:themeFill="background1"/>
        <w:tabs>
          <w:tab w:val="right" w:leader="dot" w:pos="9637"/>
        </w:tabs>
        <w:rPr>
          <w:rFonts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TOC \o "1-1" \h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"_Toc16222" </w:instrText>
      </w:r>
      <w:r>
        <w:rPr>
          <w:color w:val="auto"/>
          <w:highlight w:val="none"/>
        </w:rPr>
        <w:fldChar w:fldCharType="separate"/>
      </w:r>
      <w:r>
        <w:rPr>
          <w:rFonts w:hint="eastAsia" w:ascii="宋体" w:hAnsi="宋体" w:cs="宋体"/>
          <w:color w:val="auto"/>
          <w:sz w:val="32"/>
          <w:szCs w:val="32"/>
          <w:highlight w:val="none"/>
        </w:rPr>
        <w:t>第一章  招标公告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_Toc16222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9D2C75F">
      <w:pPr>
        <w:pStyle w:val="17"/>
        <w:shd w:val="clear" w:color="auto" w:fill="FFFFFF" w:themeFill="background1"/>
        <w:tabs>
          <w:tab w:val="right" w:leader="dot" w:pos="9637"/>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"_Toc8382" </w:instrText>
      </w:r>
      <w:r>
        <w:rPr>
          <w:color w:val="auto"/>
          <w:highlight w:val="none"/>
        </w:rPr>
        <w:fldChar w:fldCharType="separate"/>
      </w:r>
      <w:r>
        <w:rPr>
          <w:rFonts w:hint="eastAsia" w:ascii="宋体" w:hAnsi="宋体" w:cs="宋体"/>
          <w:color w:val="auto"/>
          <w:sz w:val="32"/>
          <w:szCs w:val="32"/>
          <w:highlight w:val="none"/>
        </w:rPr>
        <w:t>第二章  采购需求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_Toc8382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5C5199A4">
      <w:pPr>
        <w:pStyle w:val="17"/>
        <w:shd w:val="clear" w:color="auto" w:fill="FFFFFF" w:themeFill="background1"/>
        <w:tabs>
          <w:tab w:val="right" w:leader="dot" w:pos="9637"/>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"_Toc15364" </w:instrText>
      </w:r>
      <w:r>
        <w:rPr>
          <w:color w:val="auto"/>
          <w:highlight w:val="none"/>
        </w:rPr>
        <w:fldChar w:fldCharType="separate"/>
      </w:r>
      <w:r>
        <w:rPr>
          <w:rFonts w:hint="eastAsia" w:ascii="宋体" w:hAnsi="宋体" w:cs="宋体"/>
          <w:color w:val="auto"/>
          <w:sz w:val="32"/>
          <w:szCs w:val="32"/>
          <w:highlight w:val="none"/>
        </w:rPr>
        <w:t>第三章  投标人须知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_Toc15364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15</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09146ADB">
      <w:pPr>
        <w:pStyle w:val="17"/>
        <w:shd w:val="clear" w:color="auto" w:fill="FFFFFF" w:themeFill="background1"/>
        <w:tabs>
          <w:tab w:val="right" w:leader="dot" w:pos="9637"/>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"_Toc10034" </w:instrText>
      </w:r>
      <w:r>
        <w:rPr>
          <w:color w:val="auto"/>
          <w:highlight w:val="none"/>
        </w:rPr>
        <w:fldChar w:fldCharType="separate"/>
      </w:r>
      <w:r>
        <w:rPr>
          <w:rFonts w:hint="eastAsia" w:ascii="宋体" w:hAnsi="宋体" w:cs="宋体"/>
          <w:color w:val="auto"/>
          <w:sz w:val="32"/>
          <w:szCs w:val="32"/>
          <w:highlight w:val="none"/>
        </w:rPr>
        <w:t>第四章  评标方法和评标标准</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_Toc10034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3687E0DE">
      <w:pPr>
        <w:pStyle w:val="17"/>
        <w:shd w:val="clear" w:color="auto" w:fill="FFFFFF" w:themeFill="background1"/>
        <w:tabs>
          <w:tab w:val="right" w:leader="dot" w:pos="9637"/>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"_Toc32021" </w:instrText>
      </w:r>
      <w:r>
        <w:rPr>
          <w:color w:val="auto"/>
          <w:highlight w:val="none"/>
        </w:rPr>
        <w:fldChar w:fldCharType="separate"/>
      </w:r>
      <w:r>
        <w:rPr>
          <w:rFonts w:hint="eastAsia" w:ascii="宋体" w:hAnsi="宋体" w:cs="宋体"/>
          <w:color w:val="auto"/>
          <w:sz w:val="32"/>
          <w:szCs w:val="32"/>
          <w:highlight w:val="none"/>
        </w:rPr>
        <w:t>第五章  拟签订的合同文本</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_Toc32021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43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3D75B7E5">
      <w:pPr>
        <w:pStyle w:val="17"/>
        <w:shd w:val="clear" w:color="auto" w:fill="FFFFFF" w:themeFill="background1"/>
        <w:tabs>
          <w:tab w:val="right" w:leader="dot" w:pos="9637"/>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"_Toc2517" </w:instrText>
      </w:r>
      <w:r>
        <w:rPr>
          <w:color w:val="auto"/>
          <w:highlight w:val="none"/>
        </w:rPr>
        <w:fldChar w:fldCharType="separate"/>
      </w:r>
      <w:r>
        <w:rPr>
          <w:rFonts w:hint="eastAsia" w:ascii="宋体" w:hAnsi="宋体" w:cs="宋体"/>
          <w:color w:val="auto"/>
          <w:sz w:val="32"/>
          <w:szCs w:val="32"/>
          <w:highlight w:val="none"/>
        </w:rPr>
        <w:t>第六章  投标文件格式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_Toc2517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48</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3E95331">
      <w:pPr>
        <w:pStyle w:val="17"/>
        <w:shd w:val="clear" w:color="auto" w:fill="FFFFFF" w:themeFill="background1"/>
        <w:tabs>
          <w:tab w:val="right" w:leader="dot" w:pos="9637"/>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"_Toc31310" </w:instrText>
      </w:r>
      <w:r>
        <w:rPr>
          <w:color w:val="auto"/>
          <w:highlight w:val="none"/>
        </w:rPr>
        <w:fldChar w:fldCharType="separate"/>
      </w:r>
      <w:r>
        <w:rPr>
          <w:rFonts w:hint="eastAsia" w:ascii="宋体" w:hAnsi="宋体" w:cs="宋体"/>
          <w:color w:val="auto"/>
          <w:sz w:val="32"/>
          <w:szCs w:val="32"/>
          <w:highlight w:val="none"/>
        </w:rPr>
        <w:t>第七章  质疑、投诉材料格式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_Toc31310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75</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485D9F24">
      <w:pPr>
        <w:pStyle w:val="13"/>
        <w:shd w:val="clear" w:color="auto" w:fill="FFFFFF" w:themeFill="background1"/>
        <w:jc w:val="center"/>
        <w:rPr>
          <w:rFonts w:hAnsi="宋体" w:cs="宋体"/>
          <w:color w:val="auto"/>
          <w:highlight w:val="none"/>
        </w:rPr>
      </w:pPr>
      <w:r>
        <w:rPr>
          <w:rFonts w:hint="eastAsia" w:hAnsi="宋体" w:cs="宋体"/>
          <w:color w:val="auto"/>
          <w:sz w:val="32"/>
          <w:szCs w:val="32"/>
          <w:highlight w:val="none"/>
        </w:rPr>
        <w:fldChar w:fldCharType="end"/>
      </w:r>
      <w:r>
        <w:rPr>
          <w:rFonts w:hint="eastAsia" w:hAnsi="宋体" w:cs="宋体"/>
          <w:color w:val="auto"/>
          <w:highlight w:val="none"/>
        </w:rPr>
        <w:tab/>
      </w:r>
      <w:bookmarkStart w:id="1" w:name="_Toc532545041"/>
    </w:p>
    <w:p w14:paraId="3E592451">
      <w:pPr>
        <w:shd w:val="clear" w:color="auto" w:fill="FFFFFF" w:themeFill="background1"/>
        <w:rPr>
          <w:rFonts w:ascii="宋体" w:hAnsi="宋体" w:cs="宋体"/>
          <w:color w:val="auto"/>
          <w:highlight w:val="none"/>
        </w:rPr>
      </w:pPr>
      <w:r>
        <w:rPr>
          <w:rFonts w:hint="eastAsia" w:ascii="宋体" w:hAnsi="宋体" w:cs="宋体"/>
          <w:color w:val="auto"/>
          <w:highlight w:val="none"/>
        </w:rPr>
        <w:br w:type="page"/>
      </w:r>
    </w:p>
    <w:p w14:paraId="75025CF2">
      <w:pPr>
        <w:pStyle w:val="13"/>
        <w:shd w:val="clear" w:color="auto" w:fill="FFFFFF" w:themeFill="background1"/>
        <w:jc w:val="center"/>
        <w:outlineLvl w:val="0"/>
        <w:rPr>
          <w:rFonts w:hAnsi="宋体" w:cs="宋体"/>
          <w:b/>
          <w:color w:val="auto"/>
          <w:sz w:val="36"/>
          <w:highlight w:val="none"/>
        </w:rPr>
      </w:pPr>
      <w:bookmarkStart w:id="2" w:name="_Toc184"/>
      <w:bookmarkStart w:id="3" w:name="_Toc16576"/>
      <w:bookmarkStart w:id="4" w:name="_Toc19537"/>
      <w:bookmarkStart w:id="5" w:name="_Toc8345"/>
      <w:bookmarkStart w:id="6" w:name="_Toc11500"/>
      <w:bookmarkStart w:id="7" w:name="_Toc18707"/>
      <w:bookmarkStart w:id="8" w:name="_Toc20258"/>
      <w:bookmarkStart w:id="9" w:name="_Toc9949"/>
      <w:bookmarkStart w:id="10" w:name="_Toc18459"/>
      <w:bookmarkStart w:id="11" w:name="_Toc16222"/>
      <w:bookmarkStart w:id="12" w:name="_Toc12228"/>
      <w:r>
        <w:rPr>
          <w:rFonts w:hint="eastAsia" w:hAnsi="宋体" w:cs="宋体"/>
          <w:b/>
          <w:color w:val="auto"/>
          <w:sz w:val="36"/>
          <w:highlight w:val="none"/>
        </w:rPr>
        <w:t>第一章  招标公告</w:t>
      </w:r>
      <w:bookmarkEnd w:id="1"/>
      <w:bookmarkEnd w:id="2"/>
      <w:bookmarkEnd w:id="3"/>
      <w:bookmarkEnd w:id="4"/>
      <w:bookmarkEnd w:id="5"/>
      <w:bookmarkEnd w:id="6"/>
      <w:bookmarkEnd w:id="7"/>
      <w:bookmarkEnd w:id="8"/>
      <w:bookmarkEnd w:id="9"/>
      <w:bookmarkEnd w:id="10"/>
      <w:bookmarkEnd w:id="11"/>
      <w:bookmarkEnd w:id="12"/>
    </w:p>
    <w:p w14:paraId="48914FD0">
      <w:pPr>
        <w:pStyle w:val="13"/>
        <w:shd w:val="clear" w:color="auto" w:fill="FFFFFF" w:themeFill="background1"/>
        <w:jc w:val="center"/>
        <w:rPr>
          <w:rFonts w:hAnsi="宋体" w:cs="宋体"/>
          <w:b/>
          <w:color w:val="auto"/>
          <w:sz w:val="30"/>
          <w:szCs w:val="30"/>
          <w:highlight w:val="none"/>
        </w:rPr>
      </w:pPr>
    </w:p>
    <w:p w14:paraId="6A460EDF">
      <w:pPr>
        <w:pStyle w:val="13"/>
        <w:shd w:val="clear" w:color="auto" w:fill="FFFFFF" w:themeFill="background1"/>
        <w:jc w:val="center"/>
        <w:rPr>
          <w:rFonts w:hAnsi="宋体" w:cs="宋体"/>
          <w:b/>
          <w:color w:val="auto"/>
          <w:sz w:val="30"/>
          <w:szCs w:val="30"/>
          <w:highlight w:val="none"/>
        </w:rPr>
      </w:pPr>
      <w:r>
        <w:rPr>
          <w:rFonts w:hint="eastAsia" w:hAnsi="宋体" w:cs="宋体"/>
          <w:b/>
          <w:color w:val="auto"/>
          <w:sz w:val="30"/>
          <w:szCs w:val="30"/>
          <w:highlight w:val="none"/>
        </w:rPr>
        <w:t>招标公告</w:t>
      </w:r>
    </w:p>
    <w:p w14:paraId="10603BC9">
      <w:pPr>
        <w:pBdr>
          <w:top w:val="single" w:color="auto" w:sz="4" w:space="1"/>
          <w:left w:val="single" w:color="auto" w:sz="4" w:space="4"/>
          <w:bottom w:val="single" w:color="auto" w:sz="4" w:space="1"/>
          <w:right w:val="single" w:color="auto" w:sz="4" w:space="4"/>
        </w:pBd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项目概况</w:t>
      </w:r>
    </w:p>
    <w:p w14:paraId="4F9688EE">
      <w:pPr>
        <w:pBdr>
          <w:top w:val="single" w:color="auto" w:sz="4" w:space="1"/>
          <w:left w:val="single" w:color="auto" w:sz="4" w:space="4"/>
          <w:bottom w:val="single" w:color="auto" w:sz="4" w:space="1"/>
          <w:right w:val="single" w:color="auto" w:sz="4" w:space="4"/>
        </w:pBdr>
        <w:shd w:val="clear" w:color="auto" w:fill="FFFFFF" w:themeFill="background1"/>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u w:val="single"/>
          <w:lang w:eastAsia="zh-CN"/>
        </w:rPr>
        <w:t>西门子超高端螺旋CT等设备维保服务（重）</w:t>
      </w:r>
      <w:r>
        <w:rPr>
          <w:rFonts w:hint="eastAsia" w:ascii="宋体" w:hAnsi="宋体" w:cs="宋体"/>
          <w:color w:val="auto"/>
          <w:szCs w:val="21"/>
          <w:highlight w:val="none"/>
        </w:rPr>
        <w:t>招标项目的潜在投标人应在广西政府采购云平台（https://www.gcy.zfcg.gxzf.gov.cn/）获取招标文件，并于2024年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rPr>
        <w:t>日9：30（北京时间）前递交投标文件。</w:t>
      </w:r>
    </w:p>
    <w:p w14:paraId="76C09BB1">
      <w:pPr>
        <w:shd w:val="clear" w:color="auto" w:fill="FFFFFF" w:themeFill="background1"/>
        <w:spacing w:line="360" w:lineRule="auto"/>
        <w:rPr>
          <w:rFonts w:ascii="宋体" w:hAnsi="宋体" w:cs="宋体"/>
          <w:b/>
          <w:bCs/>
          <w:color w:val="auto"/>
          <w:sz w:val="24"/>
          <w:highlight w:val="none"/>
        </w:rPr>
      </w:pPr>
      <w:bookmarkStart w:id="13" w:name="_Toc35393621"/>
      <w:bookmarkStart w:id="14" w:name="_Toc28359002"/>
      <w:bookmarkStart w:id="15" w:name="_Toc35393790"/>
      <w:bookmarkStart w:id="16" w:name="_Toc28359079"/>
      <w:bookmarkStart w:id="17" w:name="_Hlk24379207"/>
      <w:r>
        <w:rPr>
          <w:rFonts w:hint="eastAsia" w:ascii="宋体" w:hAnsi="宋体" w:cs="宋体"/>
          <w:b/>
          <w:bCs/>
          <w:color w:val="auto"/>
          <w:sz w:val="24"/>
          <w:highlight w:val="none"/>
        </w:rPr>
        <w:t>一、项目基本情况</w:t>
      </w:r>
      <w:bookmarkEnd w:id="13"/>
      <w:bookmarkEnd w:id="14"/>
      <w:bookmarkEnd w:id="15"/>
      <w:bookmarkEnd w:id="16"/>
    </w:p>
    <w:p w14:paraId="277A7E50">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GXZC2024-G3-005913-KLZB</w:t>
      </w:r>
      <w:r>
        <w:rPr>
          <w:rFonts w:hint="eastAsia" w:ascii="宋体" w:hAnsi="宋体" w:cs="宋体"/>
          <w:color w:val="auto"/>
          <w:szCs w:val="21"/>
          <w:highlight w:val="none"/>
        </w:rPr>
        <w:t>（政府采购计划编号：</w:t>
      </w:r>
      <w:r>
        <w:rPr>
          <w:rFonts w:hint="eastAsia" w:ascii="宋体" w:hAnsi="宋体" w:cs="宋体"/>
          <w:color w:val="auto"/>
          <w:szCs w:val="21"/>
          <w:highlight w:val="none"/>
          <w:u w:val="single"/>
        </w:rPr>
        <w:t>广西政采[2024]14801号</w:t>
      </w:r>
      <w:r>
        <w:rPr>
          <w:rFonts w:hint="eastAsia" w:ascii="宋体" w:hAnsi="宋体" w:cs="宋体"/>
          <w:color w:val="auto"/>
          <w:szCs w:val="21"/>
          <w:highlight w:val="none"/>
        </w:rPr>
        <w:t xml:space="preserve">） </w:t>
      </w:r>
    </w:p>
    <w:p w14:paraId="290761EA">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w:t>
      </w:r>
      <w:bookmarkEnd w:id="17"/>
      <w:r>
        <w:rPr>
          <w:rFonts w:hint="eastAsia" w:ascii="宋体" w:hAnsi="宋体" w:cs="宋体"/>
          <w:color w:val="auto"/>
          <w:szCs w:val="21"/>
          <w:highlight w:val="none"/>
          <w:lang w:eastAsia="zh-CN"/>
        </w:rPr>
        <w:t>西门子超高端螺旋CT等设备维保服务（重）</w:t>
      </w:r>
      <w:r>
        <w:rPr>
          <w:rFonts w:hint="eastAsia" w:ascii="宋体" w:hAnsi="宋体" w:cs="宋体"/>
          <w:color w:val="auto"/>
          <w:szCs w:val="21"/>
          <w:highlight w:val="none"/>
        </w:rPr>
        <w:t xml:space="preserve"> </w:t>
      </w:r>
    </w:p>
    <w:p w14:paraId="7BF89FD7">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w:t>
      </w:r>
      <w:bookmarkStart w:id="18" w:name="PO_3000001867_PM001392"/>
      <w:r>
        <w:rPr>
          <w:rFonts w:hint="eastAsia" w:ascii="宋体" w:hAnsi="宋体" w:cs="宋体"/>
          <w:color w:val="auto"/>
          <w:szCs w:val="21"/>
          <w:highlight w:val="none"/>
        </w:rPr>
        <w:t>（大写）人民币</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4950000 \* CHINESENUM2 \* MERGEFORMAT </w:instrText>
      </w:r>
      <w:r>
        <w:rPr>
          <w:rFonts w:hint="eastAsia" w:ascii="宋体" w:hAnsi="宋体" w:cs="宋体"/>
          <w:color w:val="auto"/>
          <w:szCs w:val="21"/>
          <w:highlight w:val="none"/>
        </w:rPr>
        <w:fldChar w:fldCharType="separate"/>
      </w:r>
      <w:r>
        <w:rPr>
          <w:color w:val="auto"/>
          <w:highlight w:val="none"/>
        </w:rPr>
        <w:t>肆佰</w:t>
      </w:r>
      <w:r>
        <w:rPr>
          <w:rFonts w:hint="eastAsia"/>
          <w:color w:val="auto"/>
          <w:highlight w:val="none"/>
        </w:rPr>
        <w:t>捌</w:t>
      </w:r>
      <w:r>
        <w:rPr>
          <w:color w:val="auto"/>
          <w:highlight w:val="none"/>
        </w:rPr>
        <w:t>拾</w:t>
      </w:r>
      <w:r>
        <w:rPr>
          <w:rFonts w:hint="eastAsia"/>
          <w:color w:val="auto"/>
          <w:highlight w:val="none"/>
        </w:rPr>
        <w:t>玖</w:t>
      </w:r>
      <w:r>
        <w:rPr>
          <w:color w:val="auto"/>
          <w:highlight w:val="none"/>
        </w:rPr>
        <w:t>万</w:t>
      </w:r>
      <w:r>
        <w:rPr>
          <w:rFonts w:hint="eastAsia" w:ascii="宋体" w:hAnsi="宋体" w:cs="宋体"/>
          <w:color w:val="auto"/>
          <w:szCs w:val="21"/>
          <w:highlight w:val="none"/>
        </w:rPr>
        <w:fldChar w:fldCharType="end"/>
      </w:r>
      <w:r>
        <w:rPr>
          <w:rFonts w:hint="eastAsia" w:ascii="宋体" w:hAnsi="宋体" w:cs="宋体"/>
          <w:color w:val="auto"/>
          <w:szCs w:val="21"/>
          <w:highlight w:val="none"/>
        </w:rPr>
        <w:t>元整（小写）¥4890000</w:t>
      </w:r>
      <w:r>
        <w:rPr>
          <w:rFonts w:ascii="宋体" w:hAnsi="宋体" w:cs="宋体"/>
          <w:color w:val="auto"/>
          <w:szCs w:val="21"/>
          <w:highlight w:val="none"/>
        </w:rPr>
        <w:t>.00</w:t>
      </w:r>
      <w:bookmarkEnd w:id="18"/>
      <w:r>
        <w:rPr>
          <w:rFonts w:hint="eastAsia" w:ascii="宋体" w:hAnsi="宋体" w:cs="宋体"/>
          <w:color w:val="auto"/>
          <w:szCs w:val="21"/>
          <w:highlight w:val="none"/>
        </w:rPr>
        <w:t>。</w:t>
      </w:r>
    </w:p>
    <w:p w14:paraId="6C4A49B1">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最高限价（元）：（大写）人民币</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4950000 \* CHINESENUM2 \* MERGEFORMAT </w:instrText>
      </w:r>
      <w:r>
        <w:rPr>
          <w:rFonts w:hint="eastAsia" w:ascii="宋体" w:hAnsi="宋体" w:cs="宋体"/>
          <w:color w:val="auto"/>
          <w:szCs w:val="21"/>
          <w:highlight w:val="none"/>
        </w:rPr>
        <w:fldChar w:fldCharType="separate"/>
      </w:r>
      <w:r>
        <w:rPr>
          <w:color w:val="auto"/>
          <w:highlight w:val="none"/>
        </w:rPr>
        <w:t>肆佰</w:t>
      </w:r>
      <w:r>
        <w:rPr>
          <w:rFonts w:hint="eastAsia"/>
          <w:color w:val="auto"/>
          <w:highlight w:val="none"/>
        </w:rPr>
        <w:t>捌</w:t>
      </w:r>
      <w:r>
        <w:rPr>
          <w:color w:val="auto"/>
          <w:highlight w:val="none"/>
        </w:rPr>
        <w:t>拾</w:t>
      </w:r>
      <w:r>
        <w:rPr>
          <w:rFonts w:hint="eastAsia"/>
          <w:color w:val="auto"/>
          <w:highlight w:val="none"/>
        </w:rPr>
        <w:t>玖</w:t>
      </w:r>
      <w:r>
        <w:rPr>
          <w:color w:val="auto"/>
          <w:highlight w:val="none"/>
        </w:rPr>
        <w:t>万</w:t>
      </w:r>
      <w:r>
        <w:rPr>
          <w:rFonts w:hint="eastAsia" w:ascii="宋体" w:hAnsi="宋体" w:cs="宋体"/>
          <w:color w:val="auto"/>
          <w:szCs w:val="21"/>
          <w:highlight w:val="none"/>
        </w:rPr>
        <w:fldChar w:fldCharType="end"/>
      </w:r>
      <w:r>
        <w:rPr>
          <w:rFonts w:hint="eastAsia" w:ascii="宋体" w:hAnsi="宋体" w:cs="宋体"/>
          <w:color w:val="auto"/>
          <w:szCs w:val="21"/>
          <w:highlight w:val="none"/>
        </w:rPr>
        <w:t>元整（小写）¥4890000</w:t>
      </w:r>
      <w:r>
        <w:rPr>
          <w:rFonts w:ascii="宋体" w:hAnsi="宋体" w:cs="宋体"/>
          <w:color w:val="auto"/>
          <w:szCs w:val="21"/>
          <w:highlight w:val="none"/>
        </w:rPr>
        <w:t>.00</w:t>
      </w:r>
      <w:r>
        <w:rPr>
          <w:rFonts w:hint="eastAsia" w:ascii="宋体" w:hAnsi="宋体" w:cs="宋体"/>
          <w:color w:val="auto"/>
          <w:szCs w:val="21"/>
          <w:highlight w:val="none"/>
        </w:rPr>
        <w:t>。</w:t>
      </w:r>
    </w:p>
    <w:p w14:paraId="532288F1">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bookmarkStart w:id="19" w:name="PO_3000001867_PM004"/>
      <w:r>
        <w:rPr>
          <w:rFonts w:hint="eastAsia" w:ascii="宋体" w:hAnsi="宋体" w:cs="宋体"/>
          <w:color w:val="auto"/>
          <w:szCs w:val="21"/>
          <w:highlight w:val="none"/>
          <w:lang w:eastAsia="zh-CN"/>
        </w:rPr>
        <w:t>西门子超高端螺旋CT等设备维保服务</w:t>
      </w:r>
      <w:r>
        <w:rPr>
          <w:rFonts w:hint="eastAsia" w:ascii="宋体" w:hAnsi="宋体" w:cs="宋体"/>
          <w:color w:val="auto"/>
          <w:szCs w:val="21"/>
          <w:highlight w:val="none"/>
        </w:rPr>
        <w:t>1项，简要技术需求或服务要求详见本公告附件。</w:t>
      </w:r>
    </w:p>
    <w:bookmarkEnd w:id="19"/>
    <w:p w14:paraId="0C910EC9">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color w:val="auto"/>
          <w:szCs w:val="21"/>
          <w:highlight w:val="none"/>
        </w:rPr>
        <w:t>自合同签订之日起至服务期满</w:t>
      </w:r>
      <w:r>
        <w:rPr>
          <w:rFonts w:hint="eastAsia" w:ascii="宋体" w:hAnsi="宋体"/>
          <w:color w:val="auto"/>
          <w:szCs w:val="21"/>
          <w:highlight w:val="none"/>
          <w:shd w:val="clear" w:color="auto" w:fill="FFFFFF" w:themeFill="background1"/>
        </w:rPr>
        <w:t>（合同三年）</w:t>
      </w:r>
      <w:r>
        <w:rPr>
          <w:rFonts w:hint="eastAsia" w:ascii="宋体" w:hAnsi="宋体" w:cs="宋体"/>
          <w:color w:val="auto"/>
          <w:szCs w:val="21"/>
          <w:highlight w:val="none"/>
        </w:rPr>
        <w:t>。</w:t>
      </w:r>
      <w:bookmarkStart w:id="441" w:name="_GoBack"/>
      <w:bookmarkEnd w:id="441"/>
    </w:p>
    <w:p w14:paraId="09051161">
      <w:pPr>
        <w:shd w:val="clear" w:color="auto" w:fill="FFFFFF" w:themeFill="background1"/>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本项目</w:t>
      </w:r>
      <w:r>
        <w:rPr>
          <w:rFonts w:hint="eastAsia" w:ascii="宋体" w:hAnsi="宋体" w:cs="宋体"/>
          <w:color w:val="auto"/>
          <w:szCs w:val="21"/>
          <w:highlight w:val="none"/>
        </w:rPr>
        <w:t>（</w:t>
      </w:r>
      <w:r>
        <w:rPr>
          <w:rFonts w:hint="eastAsia" w:ascii="宋体" w:hAnsi="宋体" w:cs="宋体"/>
          <w:i/>
          <w:iCs/>
          <w:color w:val="auto"/>
          <w:szCs w:val="21"/>
          <w:highlight w:val="none"/>
        </w:rPr>
        <w:t>是/否</w:t>
      </w:r>
      <w:r>
        <w:rPr>
          <w:rFonts w:hint="eastAsia" w:ascii="宋体" w:hAnsi="宋体" w:cs="宋体"/>
          <w:color w:val="auto"/>
          <w:szCs w:val="21"/>
          <w:highlight w:val="none"/>
        </w:rPr>
        <w:t>）</w:t>
      </w:r>
      <w:r>
        <w:rPr>
          <w:rFonts w:hint="eastAsia" w:ascii="宋体" w:hAnsi="宋体"/>
          <w:color w:val="auto"/>
          <w:szCs w:val="21"/>
          <w:highlight w:val="none"/>
        </w:rPr>
        <w:t>接受联合体投标</w:t>
      </w:r>
      <w:r>
        <w:rPr>
          <w:rFonts w:hint="eastAsia" w:ascii="宋体" w:hAnsi="宋体" w:cs="宋体"/>
          <w:color w:val="auto"/>
          <w:szCs w:val="21"/>
          <w:highlight w:val="none"/>
        </w:rPr>
        <w:t>：□是/☑否。</w:t>
      </w:r>
    </w:p>
    <w:p w14:paraId="5D3A4D95">
      <w:pPr>
        <w:shd w:val="clear" w:color="auto" w:fill="FFFFFF" w:themeFill="background1"/>
        <w:spacing w:line="360" w:lineRule="auto"/>
        <w:rPr>
          <w:rFonts w:ascii="宋体" w:hAnsi="宋体" w:cs="宋体"/>
          <w:b/>
          <w:bCs/>
          <w:color w:val="auto"/>
          <w:sz w:val="24"/>
          <w:highlight w:val="none"/>
        </w:rPr>
      </w:pPr>
      <w:bookmarkStart w:id="20" w:name="_Toc28359080"/>
      <w:bookmarkStart w:id="21" w:name="_Toc28359003"/>
      <w:bookmarkStart w:id="22" w:name="_Toc35393791"/>
      <w:bookmarkStart w:id="23" w:name="_Toc35393622"/>
      <w:r>
        <w:rPr>
          <w:rFonts w:hint="eastAsia" w:ascii="宋体" w:hAnsi="宋体" w:cs="宋体"/>
          <w:b/>
          <w:bCs/>
          <w:color w:val="auto"/>
          <w:sz w:val="24"/>
          <w:highlight w:val="none"/>
        </w:rPr>
        <w:t>二、申请人的资格要求：</w:t>
      </w:r>
      <w:bookmarkEnd w:id="20"/>
      <w:bookmarkEnd w:id="21"/>
      <w:bookmarkEnd w:id="22"/>
      <w:bookmarkEnd w:id="23"/>
    </w:p>
    <w:p w14:paraId="2825485B">
      <w:pPr>
        <w:shd w:val="clear" w:color="auto" w:fill="FFFFFF" w:themeFill="background1"/>
        <w:spacing w:line="360" w:lineRule="auto"/>
        <w:ind w:firstLine="420" w:firstLineChars="200"/>
        <w:rPr>
          <w:rFonts w:ascii="宋体" w:hAnsi="宋体" w:cs="宋体"/>
          <w:color w:val="auto"/>
          <w:szCs w:val="21"/>
          <w:highlight w:val="none"/>
        </w:rPr>
      </w:pPr>
      <w:bookmarkStart w:id="24" w:name="_Toc28359081"/>
      <w:bookmarkStart w:id="25" w:name="_Toc28359004"/>
      <w:r>
        <w:rPr>
          <w:rFonts w:hint="eastAsia" w:ascii="宋体" w:hAnsi="宋体" w:cs="宋体"/>
          <w:color w:val="auto"/>
          <w:szCs w:val="21"/>
          <w:highlight w:val="none"/>
        </w:rPr>
        <w:t>1.满足《中华人民共和国政府采购法》第二十二条规定；</w:t>
      </w:r>
    </w:p>
    <w:p w14:paraId="068E4109">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olor w:val="auto"/>
          <w:szCs w:val="21"/>
          <w:highlight w:val="none"/>
        </w:rPr>
        <w:t>无</w:t>
      </w:r>
      <w:r>
        <w:rPr>
          <w:rFonts w:hint="eastAsia" w:ascii="宋体" w:hAnsi="宋体" w:cs="宋体"/>
          <w:color w:val="auto"/>
          <w:szCs w:val="21"/>
          <w:highlight w:val="none"/>
        </w:rPr>
        <w:t>；</w:t>
      </w:r>
    </w:p>
    <w:p w14:paraId="5E340244">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w:t>
      </w:r>
      <w:r>
        <w:rPr>
          <w:rFonts w:hint="eastAsia" w:ascii="宋体" w:hAnsi="宋体"/>
          <w:color w:val="auto"/>
          <w:szCs w:val="21"/>
          <w:highlight w:val="none"/>
        </w:rPr>
        <w:t>无</w:t>
      </w:r>
      <w:r>
        <w:rPr>
          <w:rFonts w:hint="eastAsia" w:ascii="宋体" w:hAnsi="宋体" w:cs="宋体"/>
          <w:color w:val="auto"/>
          <w:szCs w:val="21"/>
          <w:highlight w:val="none"/>
        </w:rPr>
        <w:t>。</w:t>
      </w:r>
    </w:p>
    <w:p w14:paraId="61383FFB">
      <w:pPr>
        <w:shd w:val="clear" w:color="auto" w:fill="FFFFFF" w:themeFill="background1"/>
        <w:spacing w:line="360" w:lineRule="auto"/>
        <w:rPr>
          <w:rFonts w:ascii="宋体" w:hAnsi="宋体" w:cs="宋体"/>
          <w:b/>
          <w:bCs/>
          <w:color w:val="auto"/>
          <w:sz w:val="24"/>
          <w:highlight w:val="none"/>
        </w:rPr>
      </w:pPr>
      <w:bookmarkStart w:id="26" w:name="_Toc35393623"/>
      <w:bookmarkStart w:id="27" w:name="_Toc35393792"/>
      <w:r>
        <w:rPr>
          <w:rFonts w:hint="eastAsia" w:ascii="宋体" w:hAnsi="宋体" w:cs="宋体"/>
          <w:b/>
          <w:bCs/>
          <w:color w:val="auto"/>
          <w:sz w:val="24"/>
          <w:highlight w:val="none"/>
        </w:rPr>
        <w:t>三、获取招标文件</w:t>
      </w:r>
      <w:bookmarkEnd w:id="24"/>
      <w:bookmarkEnd w:id="25"/>
      <w:bookmarkEnd w:id="26"/>
      <w:bookmarkEnd w:id="27"/>
    </w:p>
    <w:p w14:paraId="7FD725A4">
      <w:pPr>
        <w:shd w:val="clear" w:color="auto" w:fill="FFFFFF" w:themeFill="background1"/>
        <w:snapToGrid w:val="0"/>
        <w:spacing w:line="360" w:lineRule="auto"/>
        <w:ind w:firstLine="472" w:firstLineChars="225"/>
        <w:rPr>
          <w:rFonts w:ascii="宋体" w:hAnsi="宋体" w:cs="宋体"/>
          <w:color w:val="auto"/>
          <w:szCs w:val="21"/>
          <w:highlight w:val="none"/>
        </w:rPr>
      </w:pPr>
      <w:bookmarkStart w:id="28" w:name="_Toc28359005"/>
      <w:bookmarkStart w:id="29" w:name="_Toc28359082"/>
      <w:bookmarkStart w:id="30" w:name="_Toc35393793"/>
      <w:bookmarkStart w:id="31" w:name="_Toc35393624"/>
      <w:r>
        <w:rPr>
          <w:rFonts w:hint="eastAsia" w:ascii="宋体" w:hAnsi="宋体" w:cs="宋体"/>
          <w:color w:val="auto"/>
          <w:szCs w:val="21"/>
          <w:highlight w:val="none"/>
        </w:rPr>
        <w:t>时间：2024年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日至2024年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日，每天上午00:00至11:59，下午12:00至23:59（北京时间，法定节假日除外）。</w:t>
      </w:r>
    </w:p>
    <w:p w14:paraId="3F9AC7B1">
      <w:pPr>
        <w:shd w:val="clear" w:color="auto" w:fill="FFFFFF" w:themeFill="background1"/>
        <w:snapToGrid w:val="0"/>
        <w:spacing w:line="360" w:lineRule="auto"/>
        <w:ind w:firstLine="472" w:firstLineChars="225"/>
        <w:rPr>
          <w:rFonts w:ascii="宋体" w:hAnsi="宋体" w:cs="宋体"/>
          <w:color w:val="auto"/>
          <w:szCs w:val="21"/>
          <w:highlight w:val="none"/>
        </w:rPr>
      </w:pPr>
      <w:r>
        <w:rPr>
          <w:rFonts w:hint="eastAsia" w:ascii="宋体" w:hAnsi="宋体" w:cs="宋体"/>
          <w:color w:val="auto"/>
          <w:szCs w:val="21"/>
          <w:highlight w:val="none"/>
        </w:rPr>
        <w:t>地点：广西政府采购云平台（https://www.gcy.zfcg.gxzf.gov.cn/）</w:t>
      </w:r>
    </w:p>
    <w:p w14:paraId="2E526370">
      <w:pPr>
        <w:shd w:val="clear" w:color="auto" w:fill="FFFFFF" w:themeFill="background1"/>
        <w:snapToGrid w:val="0"/>
        <w:spacing w:line="360" w:lineRule="auto"/>
        <w:ind w:firstLine="472" w:firstLineChars="225"/>
        <w:rPr>
          <w:rFonts w:ascii="宋体" w:hAnsi="宋体" w:cs="宋体"/>
          <w:color w:val="auto"/>
          <w:szCs w:val="21"/>
          <w:highlight w:val="none"/>
        </w:rPr>
      </w:pPr>
      <w:r>
        <w:rPr>
          <w:rFonts w:hint="eastAsia" w:ascii="宋体" w:hAnsi="宋体" w:cs="宋体"/>
          <w:color w:val="auto"/>
          <w:szCs w:val="21"/>
          <w:highlight w:val="none"/>
        </w:rPr>
        <w:t>方式：网上下载。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73CB5E89">
      <w:pPr>
        <w:shd w:val="clear" w:color="auto" w:fill="FFFFFF" w:themeFill="background1"/>
        <w:snapToGrid w:val="0"/>
        <w:spacing w:line="360" w:lineRule="auto"/>
        <w:ind w:firstLine="472" w:firstLineChars="225"/>
        <w:rPr>
          <w:rFonts w:ascii="宋体" w:hAnsi="宋体" w:cs="宋体"/>
          <w:color w:val="auto"/>
          <w:szCs w:val="21"/>
          <w:highlight w:val="none"/>
        </w:rPr>
      </w:pPr>
      <w:r>
        <w:rPr>
          <w:rFonts w:hint="eastAsia" w:ascii="宋体" w:hAnsi="宋体" w:cs="宋体"/>
          <w:color w:val="auto"/>
          <w:szCs w:val="21"/>
          <w:highlight w:val="none"/>
        </w:rPr>
        <w:t>售价：人民币0元</w:t>
      </w:r>
    </w:p>
    <w:p w14:paraId="7103FA36">
      <w:pPr>
        <w:shd w:val="clear" w:color="auto" w:fill="FFFFFF" w:themeFill="background1"/>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w:t>
      </w:r>
      <w:bookmarkEnd w:id="28"/>
      <w:bookmarkEnd w:id="29"/>
      <w:r>
        <w:rPr>
          <w:rFonts w:hint="eastAsia" w:ascii="宋体" w:hAnsi="宋体" w:cs="宋体"/>
          <w:b/>
          <w:bCs/>
          <w:color w:val="auto"/>
          <w:sz w:val="24"/>
          <w:highlight w:val="none"/>
        </w:rPr>
        <w:t>截止时间、开标时间和地点</w:t>
      </w:r>
      <w:bookmarkEnd w:id="30"/>
      <w:bookmarkEnd w:id="31"/>
    </w:p>
    <w:p w14:paraId="72AF77EE">
      <w:pPr>
        <w:shd w:val="clear" w:color="auto" w:fill="FFFFFF" w:themeFill="background1"/>
        <w:spacing w:line="360" w:lineRule="auto"/>
        <w:ind w:firstLine="420" w:firstLineChars="200"/>
        <w:rPr>
          <w:rFonts w:ascii="宋体" w:hAnsi="宋体" w:cs="宋体"/>
          <w:color w:val="auto"/>
          <w:szCs w:val="21"/>
          <w:highlight w:val="none"/>
          <w:u w:val="single"/>
        </w:rPr>
      </w:pPr>
      <w:r>
        <w:rPr>
          <w:rFonts w:hint="eastAsia" w:ascii="宋体" w:hAnsi="宋体" w:cs="宋体"/>
          <w:bCs/>
          <w:color w:val="auto"/>
          <w:szCs w:val="21"/>
          <w:highlight w:val="none"/>
        </w:rPr>
        <w:t>1.提交投标文件截止时间和开标时间：</w:t>
      </w:r>
      <w:bookmarkStart w:id="32" w:name="PO_3000001867_PM015_1"/>
      <w:r>
        <w:rPr>
          <w:rFonts w:hint="eastAsia" w:ascii="宋体" w:hAnsi="宋体" w:cs="宋体"/>
          <w:bCs/>
          <w:color w:val="auto"/>
          <w:szCs w:val="21"/>
          <w:highlight w:val="none"/>
          <w:u w:val="single"/>
        </w:rPr>
        <w:t>2024年</w:t>
      </w:r>
      <w:r>
        <w:rPr>
          <w:rFonts w:hint="eastAsia" w:ascii="宋体" w:hAnsi="宋体" w:cs="宋体"/>
          <w:bCs/>
          <w:color w:val="auto"/>
          <w:szCs w:val="21"/>
          <w:highlight w:val="none"/>
          <w:u w:val="single"/>
          <w:lang w:val="en-US" w:eastAsia="zh-CN"/>
        </w:rPr>
        <w:t>11</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26</w:t>
      </w:r>
      <w:r>
        <w:rPr>
          <w:rFonts w:hint="eastAsia" w:ascii="宋体" w:hAnsi="宋体" w:cs="宋体"/>
          <w:bCs/>
          <w:color w:val="auto"/>
          <w:szCs w:val="21"/>
          <w:highlight w:val="none"/>
          <w:u w:val="single"/>
        </w:rPr>
        <w:t>日9点30分</w:t>
      </w:r>
      <w:r>
        <w:rPr>
          <w:rFonts w:hint="eastAsia" w:ascii="宋体" w:hAnsi="宋体" w:cs="宋体"/>
          <w:bCs/>
          <w:color w:val="auto"/>
          <w:szCs w:val="21"/>
          <w:highlight w:val="none"/>
        </w:rPr>
        <w:t>（北京时间）</w:t>
      </w:r>
      <w:bookmarkEnd w:id="32"/>
    </w:p>
    <w:p w14:paraId="065424CE">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2.提交投标文件和开标地点：广西政府采购云平台（https://www.gcy.zfcg.gxzf.gov.cn/）</w:t>
      </w:r>
    </w:p>
    <w:p w14:paraId="7B4DE827">
      <w:pPr>
        <w:shd w:val="clear" w:color="auto" w:fill="FFFFFF" w:themeFill="background1"/>
        <w:spacing w:line="360" w:lineRule="auto"/>
        <w:rPr>
          <w:rFonts w:ascii="宋体" w:hAnsi="宋体" w:cs="宋体"/>
          <w:b/>
          <w:bCs/>
          <w:color w:val="auto"/>
          <w:sz w:val="24"/>
          <w:highlight w:val="none"/>
        </w:rPr>
      </w:pPr>
      <w:bookmarkStart w:id="33" w:name="_Toc28359084"/>
      <w:bookmarkStart w:id="34" w:name="_Toc35393625"/>
      <w:bookmarkStart w:id="35" w:name="_Toc28359007"/>
      <w:bookmarkStart w:id="36" w:name="_Toc35393794"/>
      <w:r>
        <w:rPr>
          <w:rFonts w:hint="eastAsia" w:ascii="宋体" w:hAnsi="宋体" w:cs="宋体"/>
          <w:b/>
          <w:bCs/>
          <w:color w:val="auto"/>
          <w:sz w:val="24"/>
          <w:highlight w:val="none"/>
        </w:rPr>
        <w:t>五、公告期限</w:t>
      </w:r>
      <w:bookmarkEnd w:id="33"/>
      <w:bookmarkEnd w:id="34"/>
      <w:bookmarkEnd w:id="35"/>
      <w:bookmarkEnd w:id="36"/>
    </w:p>
    <w:p w14:paraId="33886CC5">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116C4241">
      <w:pPr>
        <w:shd w:val="clear" w:color="auto" w:fill="FFFFFF" w:themeFill="background1"/>
        <w:spacing w:line="360" w:lineRule="auto"/>
        <w:rPr>
          <w:rFonts w:ascii="宋体" w:hAnsi="宋体" w:cs="宋体"/>
          <w:b/>
          <w:bCs/>
          <w:color w:val="auto"/>
          <w:sz w:val="24"/>
          <w:highlight w:val="none"/>
        </w:rPr>
      </w:pPr>
      <w:bookmarkStart w:id="37" w:name="_Toc35393795"/>
      <w:bookmarkStart w:id="38" w:name="_Toc35393626"/>
      <w:r>
        <w:rPr>
          <w:rFonts w:hint="eastAsia" w:ascii="宋体" w:hAnsi="宋体" w:cs="宋体"/>
          <w:b/>
          <w:bCs/>
          <w:color w:val="auto"/>
          <w:sz w:val="24"/>
          <w:highlight w:val="none"/>
        </w:rPr>
        <w:t>六、其他补充事宜</w:t>
      </w:r>
      <w:bookmarkEnd w:id="37"/>
      <w:bookmarkEnd w:id="38"/>
    </w:p>
    <w:p w14:paraId="0C7BBBE8">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1.投标保证金：</w:t>
      </w:r>
    </w:p>
    <w:p w14:paraId="70F1B45B">
      <w:pPr>
        <w:shd w:val="clear" w:color="auto" w:fill="FFFFFF" w:themeFill="background1"/>
        <w:spacing w:line="360" w:lineRule="auto"/>
        <w:ind w:firstLine="843" w:firstLineChars="400"/>
        <w:rPr>
          <w:rFonts w:ascii="宋体" w:hAnsi="宋体" w:cs="宋体"/>
          <w:b/>
          <w:bCs/>
          <w:color w:val="auto"/>
          <w:szCs w:val="21"/>
          <w:highlight w:val="none"/>
        </w:rPr>
      </w:pPr>
      <w:r>
        <w:rPr>
          <w:rFonts w:hint="eastAsia" w:ascii="宋体" w:hAnsi="宋体" w:cs="宋体"/>
          <w:b/>
          <w:bCs/>
          <w:color w:val="auto"/>
          <w:szCs w:val="21"/>
          <w:highlight w:val="none"/>
        </w:rPr>
        <w:t>□ 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投标保证金。</w:t>
      </w:r>
    </w:p>
    <w:p w14:paraId="408A052E">
      <w:pPr>
        <w:shd w:val="clear" w:color="auto" w:fill="FFFFFF" w:themeFill="background1"/>
        <w:spacing w:line="360" w:lineRule="auto"/>
        <w:ind w:firstLine="843" w:firstLineChars="400"/>
        <w:rPr>
          <w:rFonts w:ascii="宋体" w:hAnsi="宋体" w:cs="宋体"/>
          <w:b/>
          <w:bCs/>
          <w:color w:val="auto"/>
          <w:szCs w:val="21"/>
          <w:highlight w:val="none"/>
        </w:rPr>
      </w:pPr>
      <w:r>
        <w:rPr>
          <w:rFonts w:hint="eastAsia" w:ascii="宋体" w:hAnsi="宋体" w:cs="宋体"/>
          <w:b/>
          <w:bCs/>
          <w:color w:val="auto"/>
          <w:szCs w:val="21"/>
          <w:highlight w:val="none"/>
        </w:rPr>
        <w:t>☑ 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投标保证金，相关要求：</w:t>
      </w:r>
    </w:p>
    <w:p w14:paraId="7212B967">
      <w:pPr>
        <w:shd w:val="clear" w:color="auto" w:fill="FFFFFF" w:themeFill="background1"/>
        <w:spacing w:line="360" w:lineRule="auto"/>
        <w:ind w:firstLine="840" w:firstLineChars="400"/>
        <w:rPr>
          <w:rFonts w:ascii="宋体" w:hAnsi="宋体" w:cs="宋体"/>
          <w:color w:val="auto"/>
          <w:szCs w:val="21"/>
          <w:highlight w:val="none"/>
          <w:u w:val="single"/>
        </w:rPr>
      </w:pPr>
      <w:r>
        <w:rPr>
          <w:rFonts w:hint="eastAsia" w:ascii="宋体" w:hAnsi="宋体" w:cs="宋体"/>
          <w:color w:val="auto"/>
          <w:kern w:val="0"/>
          <w:szCs w:val="21"/>
          <w:highlight w:val="none"/>
        </w:rPr>
        <w:t>投标保证金金额：</w:t>
      </w:r>
      <w:r>
        <w:rPr>
          <w:rFonts w:hint="eastAsia" w:ascii="宋体" w:hAnsi="宋体" w:cs="宋体"/>
          <w:color w:val="auto"/>
          <w:szCs w:val="21"/>
          <w:highlight w:val="none"/>
          <w:u w:val="single"/>
        </w:rPr>
        <w:t>（大写）人民币</w:t>
      </w: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60000 \* CHINESENUM2 \* MERGEFORMAT </w:instrText>
      </w:r>
      <w:r>
        <w:rPr>
          <w:rFonts w:hint="eastAsia" w:ascii="宋体" w:hAnsi="宋体" w:cs="宋体"/>
          <w:color w:val="auto"/>
          <w:szCs w:val="21"/>
          <w:highlight w:val="none"/>
          <w:u w:val="single"/>
        </w:rPr>
        <w:fldChar w:fldCharType="separate"/>
      </w:r>
      <w:r>
        <w:rPr>
          <w:rFonts w:hint="eastAsia" w:ascii="宋体" w:hAnsi="宋体" w:cs="宋体"/>
          <w:color w:val="auto"/>
          <w:highlight w:val="none"/>
          <w:u w:val="single"/>
        </w:rPr>
        <w:t>肆万</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捌仟元整（小写）¥48000.00。</w:t>
      </w:r>
    </w:p>
    <w:p w14:paraId="25331E7C">
      <w:pPr>
        <w:shd w:val="clear" w:color="auto" w:fill="FFFFFF" w:themeFill="background1"/>
        <w:spacing w:line="360" w:lineRule="auto"/>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14:paraId="73E703DA">
      <w:pPr>
        <w:shd w:val="clear" w:color="auto" w:fill="FFFFFF" w:themeFill="background1"/>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招商银行南宁市双拥路支行</w:t>
      </w:r>
    </w:p>
    <w:p w14:paraId="7EE319CF">
      <w:pPr>
        <w:shd w:val="clear" w:color="auto" w:fill="FFFFFF" w:themeFill="background1"/>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u w:val="single"/>
        </w:rPr>
        <w:t>广西科联招标中心有限公司</w:t>
      </w:r>
    </w:p>
    <w:p w14:paraId="00F01255">
      <w:pPr>
        <w:shd w:val="clear" w:color="auto" w:fill="FFFFFF" w:themeFill="background1"/>
        <w:spacing w:line="360" w:lineRule="auto"/>
        <w:ind w:left="495"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u w:val="single"/>
          <w:lang w:val="en-US" w:eastAsia="zh-CN"/>
        </w:rPr>
        <w:t>7719011969103333000007928</w:t>
      </w:r>
    </w:p>
    <w:p w14:paraId="10753074">
      <w:pPr>
        <w:shd w:val="clear" w:color="auto" w:fill="FFFFFF" w:themeFill="background1"/>
        <w:spacing w:line="360" w:lineRule="auto"/>
        <w:ind w:firstLine="840" w:firstLineChars="400"/>
        <w:rPr>
          <w:rFonts w:ascii="宋体" w:hAnsi="宋体" w:cs="宋体"/>
          <w:color w:val="auto"/>
          <w:highlight w:val="none"/>
        </w:rPr>
      </w:pPr>
      <w:r>
        <w:rPr>
          <w:rFonts w:hint="eastAsia" w:ascii="宋体" w:hAnsi="宋体" w:cs="宋体"/>
          <w:color w:val="auto"/>
          <w:kern w:val="0"/>
          <w:szCs w:val="21"/>
          <w:highlight w:val="none"/>
        </w:rPr>
        <w:t>采用支票、汇票、本票或者保函等方式的，在投标截止时间前，投标人必须递交单独密封的支票、汇票、本票或者保函（电子保函除外）等原件给采购代理机构。</w:t>
      </w:r>
      <w:r>
        <w:rPr>
          <w:rFonts w:hint="eastAsia" w:ascii="宋体" w:hAnsi="宋体" w:cs="宋体"/>
          <w:b/>
          <w:bCs/>
          <w:color w:val="auto"/>
          <w:kern w:val="0"/>
          <w:szCs w:val="21"/>
          <w:highlight w:val="none"/>
        </w:rPr>
        <w:t>否则视为无效投标保证金</w:t>
      </w:r>
      <w:r>
        <w:rPr>
          <w:rFonts w:hint="eastAsia" w:ascii="宋体" w:hAnsi="宋体" w:cs="宋体"/>
          <w:color w:val="auto"/>
          <w:kern w:val="0"/>
          <w:szCs w:val="21"/>
          <w:highlight w:val="none"/>
        </w:rPr>
        <w:t>。</w:t>
      </w:r>
    </w:p>
    <w:p w14:paraId="4CC03613">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2.网上查询地址</w:t>
      </w:r>
    </w:p>
    <w:p w14:paraId="1188DB38">
      <w:pPr>
        <w:shd w:val="clear" w:color="auto" w:fill="FFFFFF" w:themeFill="background1"/>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http://www.ccgp-guangxi.gov.cn/ (中国政府采购网广西分网)、http://gxggzy.gxzf.gov.cn/（广西壮族自治区公共资源交易中心网站）。</w:t>
      </w:r>
    </w:p>
    <w:p w14:paraId="1DCBB3C1">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3.本项目需要落实的政府采购政策：</w:t>
      </w:r>
    </w:p>
    <w:p w14:paraId="466377CF">
      <w:pPr>
        <w:shd w:val="clear" w:color="auto" w:fill="FFFFFF" w:themeFill="background1"/>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7350A50B">
      <w:pPr>
        <w:shd w:val="clear" w:color="auto" w:fill="FFFFFF" w:themeFill="background1"/>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092CC20A">
      <w:pPr>
        <w:shd w:val="clear" w:color="auto" w:fill="FFFFFF" w:themeFill="background1"/>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16E9DCD6">
      <w:pPr>
        <w:shd w:val="clear" w:color="auto" w:fill="FFFFFF" w:themeFill="background1"/>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57CE21B0">
      <w:pPr>
        <w:shd w:val="clear" w:color="auto" w:fill="FFFFFF" w:themeFill="background1"/>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51686A24">
      <w:pPr>
        <w:shd w:val="clear" w:color="auto" w:fill="FFFFFF" w:themeFill="background1"/>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C918BB3">
      <w:pPr>
        <w:shd w:val="clear" w:color="auto" w:fill="FFFFFF" w:themeFill="background1"/>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5.对在“信用中国”网站(www.creditchina.gov.cn) 、中国政府采购网(www.ccgp.gov.cn)被列入失信被执行人、</w:t>
      </w:r>
      <w:r>
        <w:rPr>
          <w:rFonts w:hint="eastAsia" w:ascii="宋体" w:hAnsi="宋体" w:cs="宋体"/>
          <w:color w:val="auto"/>
          <w:szCs w:val="21"/>
          <w:highlight w:val="none"/>
        </w:rPr>
        <w:t>重大税收违法失信主体</w:t>
      </w:r>
      <w:r>
        <w:rPr>
          <w:rFonts w:hint="eastAsia" w:ascii="宋体" w:hAnsi="宋体" w:cs="宋体"/>
          <w:color w:val="auto"/>
          <w:kern w:val="0"/>
          <w:szCs w:val="21"/>
          <w:highlight w:val="none"/>
        </w:rPr>
        <w:t>、政府采购严重违法失信行为记录名单及其他不符合《中华人民共和国政府采购法》第二十二条规定条件的供应商，不得参与政府采购活动。</w:t>
      </w:r>
    </w:p>
    <w:p w14:paraId="50857348">
      <w:pPr>
        <w:shd w:val="clear" w:color="auto" w:fill="FFFFFF" w:themeFill="background1"/>
        <w:spacing w:line="360" w:lineRule="auto"/>
        <w:ind w:firstLine="316" w:firstLineChars="150"/>
        <w:rPr>
          <w:rFonts w:ascii="宋体" w:hAnsi="宋体" w:cs="宋体"/>
          <w:color w:val="auto"/>
          <w:kern w:val="0"/>
          <w:szCs w:val="21"/>
          <w:highlight w:val="none"/>
        </w:rPr>
      </w:pPr>
      <w:r>
        <w:rPr>
          <w:rFonts w:hint="eastAsia" w:ascii="宋体" w:hAnsi="宋体" w:cs="宋体"/>
          <w:b/>
          <w:bCs/>
          <w:color w:val="auto"/>
          <w:kern w:val="0"/>
          <w:szCs w:val="21"/>
          <w:highlight w:val="none"/>
        </w:rPr>
        <w:t>6.</w:t>
      </w:r>
      <w:r>
        <w:rPr>
          <w:rFonts w:hint="eastAsia" w:ascii="宋体" w:hAnsi="宋体" w:cs="宋体"/>
          <w:b/>
          <w:bCs/>
          <w:color w:val="auto"/>
          <w:szCs w:val="21"/>
          <w:highlight w:val="none"/>
        </w:rPr>
        <w:t>在线投标的有关说明</w:t>
      </w:r>
      <w:r>
        <w:rPr>
          <w:rFonts w:hint="eastAsia" w:ascii="宋体" w:hAnsi="宋体" w:cs="宋体"/>
          <w:b/>
          <w:bCs/>
          <w:color w:val="auto"/>
          <w:kern w:val="0"/>
          <w:szCs w:val="21"/>
          <w:highlight w:val="none"/>
        </w:rPr>
        <w:t>：</w:t>
      </w:r>
    </w:p>
    <w:p w14:paraId="5E632004">
      <w:pPr>
        <w:widowControl/>
        <w:shd w:val="clear" w:color="auto" w:fill="FFFFFF" w:themeFill="background1"/>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rPr>
        <w:t>投标文件提交方式：本项目为全流程电子化项目，通过</w:t>
      </w:r>
      <w:r>
        <w:rPr>
          <w:rFonts w:hint="eastAsia" w:ascii="宋体" w:hAnsi="宋体" w:cs="宋体"/>
          <w:color w:val="auto"/>
          <w:szCs w:val="21"/>
          <w:highlight w:val="none"/>
        </w:rPr>
        <w:t>广西政府采购云平台（https://www.gcy.zfcg.gxzf.gov.cn/）</w:t>
      </w:r>
      <w:r>
        <w:rPr>
          <w:rFonts w:hint="eastAsia" w:ascii="宋体" w:hAnsi="宋体"/>
          <w:color w:val="auto"/>
          <w:szCs w:val="21"/>
          <w:highlight w:val="none"/>
        </w:rPr>
        <w:t>实行在线电子投标，供应商应先安装</w:t>
      </w:r>
      <w:r>
        <w:rPr>
          <w:rFonts w:hint="eastAsia" w:ascii="宋体" w:hAnsi="宋体" w:cs="宋体"/>
          <w:color w:val="auto"/>
          <w:szCs w:val="21"/>
          <w:highlight w:val="none"/>
        </w:rPr>
        <w:t>广西政府采购云平台新版客户端（新版客户端下载路径：广西政府采购网（访问地址http://zfcg.gxzf.gov.cn/）—办事服务—下载专区）</w:t>
      </w:r>
      <w:r>
        <w:rPr>
          <w:rFonts w:hint="eastAsia" w:ascii="宋体" w:hAnsi="宋体"/>
          <w:color w:val="auto"/>
          <w:szCs w:val="21"/>
          <w:highlight w:val="none"/>
        </w:rPr>
        <w:t>，并按照本项目招标文件和</w:t>
      </w:r>
      <w:r>
        <w:rPr>
          <w:rFonts w:hint="eastAsia" w:ascii="宋体" w:hAnsi="宋体" w:cs="宋体"/>
          <w:color w:val="auto"/>
          <w:szCs w:val="21"/>
          <w:highlight w:val="none"/>
        </w:rPr>
        <w:t>广西政府采购云平台</w:t>
      </w:r>
      <w:r>
        <w:rPr>
          <w:rFonts w:hint="eastAsia" w:ascii="宋体" w:hAnsi="宋体"/>
          <w:color w:val="auto"/>
          <w:szCs w:val="21"/>
          <w:highlight w:val="none"/>
        </w:rPr>
        <w:t>的要求编制、加密后在投标截止时间前通过网络上传至</w:t>
      </w:r>
      <w:r>
        <w:rPr>
          <w:rFonts w:hint="eastAsia" w:ascii="宋体" w:hAnsi="宋体" w:cs="宋体"/>
          <w:color w:val="auto"/>
          <w:szCs w:val="21"/>
          <w:highlight w:val="none"/>
        </w:rPr>
        <w:t>广西政府采购云平台</w:t>
      </w:r>
      <w:r>
        <w:rPr>
          <w:rFonts w:hint="eastAsia" w:ascii="宋体" w:hAnsi="宋体"/>
          <w:color w:val="auto"/>
          <w:szCs w:val="21"/>
          <w:highlight w:val="none"/>
        </w:rPr>
        <w:t>，</w:t>
      </w:r>
      <w:r>
        <w:rPr>
          <w:rFonts w:hint="eastAsia" w:ascii="宋体" w:hAnsi="宋体"/>
          <w:b/>
          <w:bCs/>
          <w:color w:val="auto"/>
          <w:szCs w:val="21"/>
          <w:highlight w:val="none"/>
        </w:rPr>
        <w:t>投标人在</w:t>
      </w:r>
      <w:r>
        <w:rPr>
          <w:rFonts w:hint="eastAsia" w:ascii="宋体" w:hAnsi="宋体" w:cs="宋体"/>
          <w:color w:val="auto"/>
          <w:szCs w:val="21"/>
          <w:highlight w:val="none"/>
        </w:rPr>
        <w:t>广西政府采购云平台</w:t>
      </w:r>
      <w:r>
        <w:rPr>
          <w:rFonts w:hint="eastAsia" w:ascii="宋体" w:hAnsi="宋体"/>
          <w:b/>
          <w:bCs/>
          <w:color w:val="auto"/>
          <w:szCs w:val="21"/>
          <w:highlight w:val="none"/>
        </w:rPr>
        <w:t>提交电子版投标文件时，请填写参加远程开标活动经办人联系方式</w:t>
      </w:r>
      <w:r>
        <w:rPr>
          <w:rFonts w:hint="eastAsia" w:ascii="宋体" w:hAnsi="宋体"/>
          <w:color w:val="auto"/>
          <w:szCs w:val="21"/>
          <w:highlight w:val="none"/>
        </w:rPr>
        <w:t>。</w:t>
      </w:r>
    </w:p>
    <w:p w14:paraId="51B26A54">
      <w:pPr>
        <w:widowControl/>
        <w:shd w:val="clear" w:color="auto" w:fill="FFFFFF" w:themeFill="background1"/>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（2）未进行网上注册并办理数字证书（CA认证）的供应商将无法参与本项目政府采购活动，潜在投标人应当在投标截止时间前，完成电子交易平台上的CA数字证书办理及投标文件的提交。</w:t>
      </w:r>
    </w:p>
    <w:p w14:paraId="019CC427">
      <w:pPr>
        <w:widowControl/>
        <w:shd w:val="clear" w:color="auto" w:fill="FFFFFF" w:themeFill="background1"/>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（3）为确保网上操作合法、有效和安全，请投标人确保在电子投标过程中能够对相关数据电文进行加密和使用电子签章，妥善保管CA数字证书并使用有效的CA数字证书参与整个招标活动。</w:t>
      </w:r>
    </w:p>
    <w:p w14:paraId="1E9E5884">
      <w:pPr>
        <w:shd w:val="clear" w:color="auto" w:fill="FFFFFF" w:themeFill="background1"/>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38D678C2">
      <w:pPr>
        <w:shd w:val="clear" w:color="auto" w:fill="FFFFFF" w:themeFill="background1"/>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（4）CA证书在线解密：投标人投标时，需携带制作投标文件时用来加密的有效数字证书（CA认证）登录广西政府采购云平台电子开标大厅现场按规定时间对加密的投标文件进行解密。</w:t>
      </w:r>
    </w:p>
    <w:p w14:paraId="50324D86">
      <w:pPr>
        <w:shd w:val="clear" w:color="auto" w:fill="FFFFFF" w:themeFill="background1"/>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广西政府采购云平台（https://www.gcy.zfcg.gxzf.gov.cn/），点击右侧咨询小采，获取采小蜜智能服务管家帮助，或拨打广西政府采购云平台服务热线95763获取热线服务帮助。</w:t>
      </w:r>
    </w:p>
    <w:p w14:paraId="27046914">
      <w:pPr>
        <w:shd w:val="clear" w:color="auto" w:fill="FFFFFF" w:themeFill="background1"/>
        <w:spacing w:line="360" w:lineRule="auto"/>
        <w:rPr>
          <w:rFonts w:ascii="宋体" w:hAnsi="宋体" w:cs="宋体"/>
          <w:b/>
          <w:bCs/>
          <w:color w:val="auto"/>
          <w:sz w:val="24"/>
          <w:highlight w:val="none"/>
        </w:rPr>
      </w:pPr>
      <w:bookmarkStart w:id="39" w:name="_Toc28359085"/>
      <w:bookmarkStart w:id="40" w:name="_Toc28359008"/>
      <w:bookmarkStart w:id="41" w:name="_Toc35393796"/>
      <w:bookmarkStart w:id="42" w:name="_Toc35393627"/>
      <w:r>
        <w:rPr>
          <w:rFonts w:hint="eastAsia" w:ascii="宋体" w:hAnsi="宋体" w:cs="宋体"/>
          <w:b/>
          <w:bCs/>
          <w:color w:val="auto"/>
          <w:sz w:val="24"/>
          <w:highlight w:val="none"/>
        </w:rPr>
        <w:t>七、对本次招标提出询问，请按以下方式联系。</w:t>
      </w:r>
      <w:bookmarkEnd w:id="39"/>
      <w:bookmarkEnd w:id="40"/>
      <w:bookmarkEnd w:id="41"/>
      <w:bookmarkEnd w:id="42"/>
    </w:p>
    <w:p w14:paraId="34C524C2">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14:paraId="4BB077BA">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广西医科大学第二附属医院</w:t>
      </w:r>
    </w:p>
    <w:p w14:paraId="090D5925">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广西南宁市大学东路166号</w:t>
      </w:r>
    </w:p>
    <w:p w14:paraId="338EBD3C">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u w:val="single"/>
        </w:rPr>
        <w:t>陆老师，0771-3373768</w:t>
      </w:r>
    </w:p>
    <w:p w14:paraId="1FAE8C5D">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39249A3E">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名称：</w:t>
      </w:r>
      <w:bookmarkStart w:id="43" w:name="PO_3000001866_PM031_1"/>
      <w:r>
        <w:rPr>
          <w:rFonts w:hint="eastAsia" w:ascii="宋体" w:hAnsi="宋体" w:cs="宋体"/>
          <w:color w:val="auto"/>
          <w:kern w:val="0"/>
          <w:szCs w:val="21"/>
          <w:highlight w:val="none"/>
          <w:u w:val="single"/>
        </w:rPr>
        <w:t>广西科联招标中心有限公司</w:t>
      </w:r>
      <w:bookmarkEnd w:id="43"/>
    </w:p>
    <w:p w14:paraId="4A52B9ED">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地址：</w:t>
      </w:r>
      <w:bookmarkStart w:id="44" w:name="PO_3000001866_PM035_1"/>
      <w:r>
        <w:rPr>
          <w:rFonts w:hint="eastAsia" w:ascii="宋体" w:hAnsi="宋体" w:cs="宋体"/>
          <w:color w:val="auto"/>
          <w:kern w:val="0"/>
          <w:szCs w:val="21"/>
          <w:highlight w:val="none"/>
          <w:u w:val="single"/>
        </w:rPr>
        <w:t>广西南宁市大学东路170号</w:t>
      </w:r>
      <w:bookmarkEnd w:id="44"/>
    </w:p>
    <w:p w14:paraId="1A17B1EA">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u w:val="single"/>
        </w:rPr>
        <w:t>0771-2273829</w:t>
      </w:r>
    </w:p>
    <w:p w14:paraId="387C8EB6">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3.项目联系方式</w:t>
      </w:r>
    </w:p>
    <w:p w14:paraId="68FDD72C">
      <w:pPr>
        <w:shd w:val="clear" w:color="auto" w:fill="FFFFFF" w:themeFill="background1"/>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u w:val="single"/>
        </w:rPr>
        <w:t>韦俊珉</w:t>
      </w:r>
    </w:p>
    <w:p w14:paraId="4A605A39">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电  话：</w:t>
      </w:r>
      <w:bookmarkStart w:id="45" w:name="PO_3000001866_PM033"/>
      <w:r>
        <w:rPr>
          <w:rFonts w:hint="eastAsia" w:ascii="宋体" w:hAnsi="宋体" w:cs="宋体"/>
          <w:color w:val="auto"/>
          <w:kern w:val="0"/>
          <w:szCs w:val="21"/>
          <w:highlight w:val="none"/>
          <w:u w:val="single"/>
        </w:rPr>
        <w:t>0771-2273829</w:t>
      </w:r>
      <w:bookmarkEnd w:id="45"/>
    </w:p>
    <w:p w14:paraId="47759E20">
      <w:pPr>
        <w:shd w:val="clear" w:color="auto" w:fill="FFFFFF" w:themeFill="background1"/>
        <w:spacing w:line="360" w:lineRule="auto"/>
        <w:ind w:firstLine="420" w:firstLineChars="200"/>
        <w:rPr>
          <w:rFonts w:ascii="宋体" w:hAnsi="宋体" w:cs="宋体"/>
          <w:color w:val="auto"/>
          <w:kern w:val="0"/>
          <w:szCs w:val="21"/>
          <w:highlight w:val="none"/>
        </w:rPr>
      </w:pPr>
    </w:p>
    <w:p w14:paraId="290F3EE3">
      <w:pPr>
        <w:shd w:val="clear" w:color="auto" w:fill="FFFFFF" w:themeFill="background1"/>
        <w:spacing w:line="360" w:lineRule="auto"/>
        <w:ind w:firstLine="420" w:firstLineChars="200"/>
        <w:rPr>
          <w:rFonts w:ascii="宋体" w:hAnsi="宋体" w:cs="宋体"/>
          <w:color w:val="auto"/>
          <w:kern w:val="0"/>
          <w:szCs w:val="21"/>
          <w:highlight w:val="none"/>
        </w:rPr>
      </w:pPr>
    </w:p>
    <w:p w14:paraId="2C98178F">
      <w:pPr>
        <w:pStyle w:val="13"/>
        <w:shd w:val="clear" w:color="auto" w:fill="FFFFFF" w:themeFill="background1"/>
        <w:jc w:val="center"/>
        <w:outlineLvl w:val="0"/>
        <w:rPr>
          <w:rFonts w:hAnsi="宋体" w:cs="宋体"/>
          <w:b/>
          <w:color w:val="auto"/>
          <w:sz w:val="36"/>
          <w:highlight w:val="none"/>
        </w:rPr>
      </w:pPr>
      <w:bookmarkStart w:id="46" w:name="_Toc532545042"/>
      <w:bookmarkStart w:id="47" w:name="_Toc937"/>
      <w:bookmarkStart w:id="48" w:name="_Toc2299"/>
      <w:bookmarkStart w:id="49" w:name="_Toc28689"/>
      <w:bookmarkStart w:id="50" w:name="_Toc7686"/>
      <w:bookmarkStart w:id="51" w:name="_Toc7337"/>
      <w:bookmarkStart w:id="52" w:name="_Toc4483"/>
      <w:bookmarkStart w:id="53" w:name="_Toc13449"/>
      <w:bookmarkStart w:id="54" w:name="_Toc22408"/>
      <w:bookmarkStart w:id="55" w:name="_Toc8382"/>
      <w:bookmarkStart w:id="56" w:name="_Toc21081"/>
      <w:bookmarkStart w:id="57" w:name="_Toc17621"/>
      <w:bookmarkStart w:id="58" w:name="_Toc24210"/>
      <w:bookmarkStart w:id="59" w:name="_Toc32573"/>
    </w:p>
    <w:p w14:paraId="7BAC8B9F">
      <w:pPr>
        <w:pStyle w:val="13"/>
        <w:shd w:val="clear" w:color="auto" w:fill="FFFFFF" w:themeFill="background1"/>
        <w:jc w:val="center"/>
        <w:outlineLvl w:val="0"/>
        <w:rPr>
          <w:rFonts w:hAnsi="宋体" w:cs="宋体"/>
          <w:b/>
          <w:color w:val="auto"/>
          <w:sz w:val="36"/>
          <w:highlight w:val="none"/>
        </w:rPr>
      </w:pPr>
    </w:p>
    <w:p w14:paraId="78C197A1">
      <w:pPr>
        <w:shd w:val="clear" w:color="auto" w:fill="FFFFFF" w:themeFill="background1"/>
        <w:rPr>
          <w:rFonts w:hAnsi="宋体" w:cs="宋体"/>
          <w:b/>
          <w:color w:val="auto"/>
          <w:sz w:val="36"/>
          <w:highlight w:val="none"/>
        </w:rPr>
      </w:pPr>
      <w:r>
        <w:rPr>
          <w:rFonts w:hint="eastAsia" w:hAnsi="宋体" w:cs="宋体"/>
          <w:b/>
          <w:color w:val="auto"/>
          <w:sz w:val="36"/>
          <w:highlight w:val="none"/>
        </w:rPr>
        <w:br w:type="page"/>
      </w:r>
    </w:p>
    <w:p w14:paraId="2D8B6A3E">
      <w:pPr>
        <w:pStyle w:val="13"/>
        <w:shd w:val="clear" w:color="auto" w:fill="FFFFFF" w:themeFill="background1"/>
        <w:jc w:val="center"/>
        <w:outlineLvl w:val="0"/>
        <w:rPr>
          <w:rFonts w:hAnsi="宋体" w:cs="宋体"/>
          <w:b/>
          <w:color w:val="auto"/>
          <w:sz w:val="36"/>
          <w:highlight w:val="none"/>
        </w:rPr>
      </w:pPr>
      <w:r>
        <w:rPr>
          <w:rFonts w:hint="eastAsia" w:hAnsi="宋体" w:cs="宋体"/>
          <w:b/>
          <w:color w:val="auto"/>
          <w:sz w:val="36"/>
          <w:highlight w:val="none"/>
        </w:rPr>
        <w:t xml:space="preserve">第二章  </w:t>
      </w:r>
      <w:bookmarkEnd w:id="46"/>
      <w:r>
        <w:rPr>
          <w:rFonts w:hint="eastAsia" w:hAnsi="宋体" w:cs="宋体"/>
          <w:b/>
          <w:color w:val="auto"/>
          <w:sz w:val="36"/>
          <w:highlight w:val="none"/>
        </w:rPr>
        <w:t>采购需求</w:t>
      </w:r>
      <w:bookmarkEnd w:id="47"/>
      <w:bookmarkEnd w:id="48"/>
      <w:bookmarkEnd w:id="49"/>
      <w:bookmarkEnd w:id="50"/>
      <w:bookmarkEnd w:id="51"/>
      <w:bookmarkEnd w:id="52"/>
      <w:bookmarkEnd w:id="53"/>
      <w:bookmarkEnd w:id="54"/>
      <w:bookmarkEnd w:id="55"/>
      <w:bookmarkEnd w:id="56"/>
      <w:bookmarkEnd w:id="57"/>
      <w:bookmarkEnd w:id="58"/>
      <w:bookmarkEnd w:id="59"/>
    </w:p>
    <w:p w14:paraId="00A0494C">
      <w:pPr>
        <w:shd w:val="clear" w:color="auto" w:fill="FFFFFF" w:themeFill="background1"/>
        <w:adjustRightInd w:val="0"/>
        <w:spacing w:line="340" w:lineRule="exact"/>
        <w:rPr>
          <w:rFonts w:ascii="宋体" w:hAnsi="宋体" w:cs="宋体"/>
          <w:b/>
          <w:color w:val="auto"/>
          <w:szCs w:val="21"/>
          <w:highlight w:val="none"/>
        </w:rPr>
      </w:pPr>
    </w:p>
    <w:p w14:paraId="55636E5F">
      <w:pPr>
        <w:shd w:val="clear" w:color="auto" w:fill="FFFFFF" w:themeFill="background1"/>
        <w:adjustRightInd w:val="0"/>
        <w:spacing w:line="500" w:lineRule="exact"/>
        <w:rPr>
          <w:rFonts w:ascii="宋体" w:hAnsi="宋体" w:cs="宋体"/>
          <w:b/>
          <w:color w:val="auto"/>
          <w:szCs w:val="21"/>
          <w:highlight w:val="none"/>
        </w:rPr>
      </w:pPr>
      <w:r>
        <w:rPr>
          <w:rFonts w:hint="eastAsia" w:ascii="宋体" w:hAnsi="宋体" w:cs="宋体"/>
          <w:b/>
          <w:color w:val="auto"/>
          <w:szCs w:val="21"/>
          <w:highlight w:val="none"/>
        </w:rPr>
        <w:t>说明：</w:t>
      </w:r>
    </w:p>
    <w:p w14:paraId="63CFA521">
      <w:pPr>
        <w:shd w:val="clear" w:color="auto" w:fill="FFFFFF" w:themeFill="background1"/>
        <w:spacing w:line="500" w:lineRule="exact"/>
        <w:ind w:firstLine="424" w:firstLineChars="202"/>
        <w:jc w:val="left"/>
        <w:rPr>
          <w:rFonts w:ascii="宋体" w:hAnsi="宋体" w:cs="宋体"/>
          <w:color w:val="auto"/>
          <w:highlight w:val="none"/>
        </w:rPr>
      </w:pPr>
      <w:r>
        <w:rPr>
          <w:rFonts w:hint="eastAsia" w:ascii="宋体" w:hAnsi="宋体" w:cs="宋体"/>
          <w:color w:val="auto"/>
          <w:highlight w:val="none"/>
        </w:rPr>
        <w:t>1. 为落实政府采购政策需满足的要求：本招标文件所称中小企业必须符合《政府采购促进中小企业发展管理办法》（财库〔2020〕46号）的规定。</w:t>
      </w:r>
    </w:p>
    <w:p w14:paraId="5251252D">
      <w:pPr>
        <w:shd w:val="clear" w:color="auto" w:fill="FFFFFF" w:themeFill="background1"/>
        <w:spacing w:line="500" w:lineRule="exact"/>
        <w:ind w:firstLine="424" w:firstLineChars="202"/>
        <w:jc w:val="left"/>
        <w:rPr>
          <w:rFonts w:ascii="宋体" w:hAnsi="宋体" w:cs="宋体"/>
          <w:color w:val="auto"/>
          <w:highlight w:val="none"/>
        </w:rPr>
      </w:pPr>
      <w:r>
        <w:rPr>
          <w:rFonts w:hint="eastAsia" w:ascii="宋体" w:hAnsi="宋体" w:cs="宋体"/>
          <w:color w:val="auto"/>
          <w:highlight w:val="none"/>
        </w:rPr>
        <w:t>2.“实质性要求”是指招标文件中已经指明不满足则投标无效的条款，或者不能负偏离的条款，或者采购需求中带“▲”的条款。</w:t>
      </w:r>
    </w:p>
    <w:p w14:paraId="54DBE87D">
      <w:pPr>
        <w:shd w:val="clear" w:color="auto" w:fill="FFFFFF" w:themeFill="background1"/>
        <w:spacing w:line="500" w:lineRule="exact"/>
        <w:ind w:firstLine="424" w:firstLineChars="202"/>
        <w:jc w:val="left"/>
        <w:rPr>
          <w:rFonts w:ascii="宋体" w:hAnsi="宋体" w:cs="宋体"/>
          <w:color w:val="auto"/>
          <w:highlight w:val="none"/>
        </w:rPr>
      </w:pPr>
      <w:r>
        <w:rPr>
          <w:rFonts w:hint="eastAsia" w:ascii="宋体" w:hAnsi="宋体" w:cs="宋体"/>
          <w:color w:val="auto"/>
          <w:highlight w:val="none"/>
        </w:rPr>
        <w:t>3.投标人必须对投标文件中提供的证明材料和资质文件真实性负责，如出现虚假应标情况，投标人除了应接受有关部门的处罚外，还应依据《中华人民共和国民法典》的相关条款来进行赔偿。</w:t>
      </w:r>
    </w:p>
    <w:p w14:paraId="6A7F4DFE">
      <w:pPr>
        <w:shd w:val="clear" w:color="auto" w:fill="FFFFFF" w:themeFill="background1"/>
        <w:spacing w:line="500" w:lineRule="exact"/>
        <w:ind w:firstLine="424" w:firstLineChars="202"/>
        <w:jc w:val="left"/>
        <w:rPr>
          <w:rFonts w:ascii="宋体" w:hAnsi="宋体" w:cs="宋体"/>
          <w:color w:val="auto"/>
          <w:highlight w:val="none"/>
        </w:rPr>
      </w:pPr>
      <w:r>
        <w:rPr>
          <w:rFonts w:hint="eastAsia" w:ascii="宋体" w:hAnsi="宋体" w:cs="宋体"/>
          <w:color w:val="auto"/>
          <w:highlight w:val="none"/>
        </w:rPr>
        <w:t>4.投标人应对投标内容所涉及的专利承担法律责任，并负责保护采购人的利益不受任何损害。一切由于文字、商标、技术和软件专利授权引起的法律裁决、诉讼和赔偿费用均由中标人负责。</w:t>
      </w:r>
    </w:p>
    <w:p w14:paraId="78684B42">
      <w:pPr>
        <w:shd w:val="clear" w:color="auto" w:fill="FFFFFF" w:themeFill="background1"/>
        <w:spacing w:line="500" w:lineRule="exact"/>
        <w:ind w:firstLine="424" w:firstLineChars="202"/>
        <w:jc w:val="left"/>
        <w:rPr>
          <w:rFonts w:ascii="宋体" w:hAnsi="宋体" w:cs="宋体"/>
          <w:color w:val="auto"/>
          <w:highlight w:val="none"/>
        </w:rPr>
      </w:pPr>
      <w:r>
        <w:rPr>
          <w:rFonts w:hint="eastAsia" w:ascii="宋体" w:hAnsi="宋体" w:cs="宋体"/>
          <w:color w:val="auto"/>
          <w:highlight w:val="none"/>
        </w:rPr>
        <w:t>5.采购内容所属行业：</w:t>
      </w:r>
      <w:r>
        <w:rPr>
          <w:rFonts w:hint="eastAsia" w:ascii="宋体" w:hAnsi="宋体" w:cs="宋体"/>
          <w:color w:val="auto"/>
          <w:highlight w:val="none"/>
          <w:u w:val="single"/>
        </w:rPr>
        <w:t>其他未列明行业</w:t>
      </w:r>
      <w:r>
        <w:rPr>
          <w:rFonts w:hint="eastAsia" w:ascii="宋体" w:hAnsi="宋体" w:cs="宋体"/>
          <w:color w:val="auto"/>
          <w:highlight w:val="none"/>
        </w:rPr>
        <w:t>。</w:t>
      </w:r>
    </w:p>
    <w:p w14:paraId="605E3CA2">
      <w:pPr>
        <w:pStyle w:val="15"/>
        <w:shd w:val="clear" w:color="auto" w:fill="FFFFFF" w:themeFill="background1"/>
        <w:rPr>
          <w:rFonts w:ascii="宋体" w:hAnsi="宋体" w:cs="宋体"/>
          <w:color w:val="auto"/>
          <w:highlight w:val="none"/>
        </w:rPr>
      </w:pPr>
    </w:p>
    <w:tbl>
      <w:tblPr>
        <w:tblStyle w:val="23"/>
        <w:tblW w:w="103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610"/>
        <w:gridCol w:w="1166"/>
        <w:gridCol w:w="912"/>
        <w:gridCol w:w="5432"/>
        <w:gridCol w:w="1663"/>
      </w:tblGrid>
      <w:tr w14:paraId="56617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0328" w:type="dxa"/>
            <w:gridSpan w:val="6"/>
            <w:tcBorders>
              <w:top w:val="single" w:color="auto" w:sz="4" w:space="0"/>
              <w:left w:val="single" w:color="auto" w:sz="4" w:space="0"/>
              <w:right w:val="single" w:color="auto" w:sz="4" w:space="0"/>
            </w:tcBorders>
            <w:noWrap/>
            <w:vAlign w:val="center"/>
          </w:tcPr>
          <w:p w14:paraId="2C0D01DE">
            <w:pPr>
              <w:shd w:val="clear" w:color="auto" w:fill="FFFFFF" w:themeFill="background1"/>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分标：无</w:t>
            </w:r>
          </w:p>
        </w:tc>
      </w:tr>
      <w:tr w14:paraId="1BB24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restart"/>
            <w:tcBorders>
              <w:top w:val="single" w:color="auto" w:sz="4" w:space="0"/>
              <w:left w:val="single" w:color="auto" w:sz="4" w:space="0"/>
              <w:right w:val="single" w:color="auto" w:sz="4" w:space="0"/>
            </w:tcBorders>
            <w:noWrap/>
            <w:vAlign w:val="center"/>
          </w:tcPr>
          <w:p w14:paraId="41D0B7A7">
            <w:pPr>
              <w:shd w:val="clear" w:color="auto" w:fill="FFFFFF" w:themeFill="background1"/>
              <w:spacing w:line="360" w:lineRule="exact"/>
              <w:jc w:val="center"/>
              <w:rPr>
                <w:rFonts w:ascii="宋体" w:hAnsi="宋体" w:cs="宋体"/>
                <w:color w:val="auto"/>
                <w:szCs w:val="21"/>
                <w:highlight w:val="none"/>
              </w:rPr>
            </w:pPr>
            <w:r>
              <w:rPr>
                <w:rFonts w:hint="eastAsia" w:ascii="宋体" w:hAnsi="宋体" w:cs="宋体"/>
                <w:b/>
                <w:color w:val="auto"/>
                <w:szCs w:val="21"/>
                <w:highlight w:val="none"/>
              </w:rPr>
              <w:t>服务要求</w:t>
            </w:r>
          </w:p>
        </w:tc>
        <w:tc>
          <w:tcPr>
            <w:tcW w:w="61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25FCC7C7">
            <w:pPr>
              <w:shd w:val="clear" w:color="auto" w:fill="FFFFFF" w:themeFill="background1"/>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66" w:type="dxa"/>
            <w:tcBorders>
              <w:top w:val="single" w:color="auto" w:sz="4" w:space="0"/>
              <w:left w:val="single" w:color="auto" w:sz="4" w:space="0"/>
              <w:bottom w:val="single" w:color="auto" w:sz="4" w:space="0"/>
              <w:right w:val="single" w:color="auto" w:sz="4" w:space="0"/>
            </w:tcBorders>
            <w:noWrap/>
            <w:vAlign w:val="center"/>
          </w:tcPr>
          <w:p w14:paraId="06CB0085">
            <w:pPr>
              <w:shd w:val="clear" w:color="auto" w:fill="FFFFFF" w:themeFill="background1"/>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912" w:type="dxa"/>
            <w:tcBorders>
              <w:top w:val="single" w:color="auto" w:sz="4" w:space="0"/>
              <w:left w:val="single" w:color="auto" w:sz="4" w:space="0"/>
              <w:bottom w:val="single" w:color="auto" w:sz="4" w:space="0"/>
              <w:right w:val="single" w:color="auto" w:sz="4" w:space="0"/>
            </w:tcBorders>
            <w:noWrap/>
            <w:vAlign w:val="center"/>
          </w:tcPr>
          <w:p w14:paraId="22211F10">
            <w:pPr>
              <w:shd w:val="clear" w:color="auto" w:fill="FFFFFF" w:themeFill="background1"/>
              <w:spacing w:line="360" w:lineRule="exact"/>
              <w:jc w:val="center"/>
              <w:rPr>
                <w:rFonts w:ascii="宋体" w:hAnsi="宋体" w:cs="宋体"/>
                <w:color w:val="auto"/>
                <w:szCs w:val="21"/>
                <w:highlight w:val="none"/>
              </w:rPr>
            </w:pPr>
          </w:p>
          <w:p w14:paraId="753069F2">
            <w:pPr>
              <w:shd w:val="clear" w:color="auto" w:fill="FFFFFF" w:themeFill="background1"/>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p w14:paraId="7042763C">
            <w:pPr>
              <w:shd w:val="clear" w:color="auto" w:fill="FFFFFF" w:themeFill="background1"/>
              <w:spacing w:line="360" w:lineRule="exact"/>
              <w:jc w:val="center"/>
              <w:rPr>
                <w:rFonts w:ascii="宋体" w:hAnsi="宋体" w:cs="宋体"/>
                <w:color w:val="auto"/>
                <w:szCs w:val="21"/>
                <w:highlight w:val="none"/>
              </w:rPr>
            </w:pPr>
          </w:p>
        </w:tc>
        <w:tc>
          <w:tcPr>
            <w:tcW w:w="5432" w:type="dxa"/>
            <w:tcBorders>
              <w:top w:val="single" w:color="auto" w:sz="4" w:space="0"/>
              <w:left w:val="single" w:color="auto" w:sz="4" w:space="0"/>
              <w:bottom w:val="single" w:color="auto" w:sz="4" w:space="0"/>
              <w:right w:val="single" w:color="auto" w:sz="4" w:space="0"/>
            </w:tcBorders>
            <w:noWrap/>
            <w:vAlign w:val="center"/>
          </w:tcPr>
          <w:p w14:paraId="632A3995">
            <w:pPr>
              <w:shd w:val="clear" w:color="auto" w:fill="FFFFFF" w:themeFill="background1"/>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663" w:type="dxa"/>
            <w:tcBorders>
              <w:top w:val="single" w:color="auto" w:sz="4" w:space="0"/>
              <w:left w:val="single" w:color="auto" w:sz="4" w:space="0"/>
              <w:bottom w:val="single" w:color="auto" w:sz="4" w:space="0"/>
              <w:right w:val="single" w:color="auto" w:sz="4" w:space="0"/>
            </w:tcBorders>
            <w:noWrap/>
            <w:vAlign w:val="center"/>
          </w:tcPr>
          <w:p w14:paraId="1595AD73">
            <w:pPr>
              <w:shd w:val="clear" w:color="auto" w:fill="FFFFFF" w:themeFill="background1"/>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中小企业划分标准所属行业名称（行业名称及划分见本章附件2）</w:t>
            </w:r>
          </w:p>
        </w:tc>
      </w:tr>
      <w:tr w14:paraId="2CA72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545" w:type="dxa"/>
            <w:vMerge w:val="continue"/>
            <w:tcBorders>
              <w:left w:val="single" w:color="auto" w:sz="4" w:space="0"/>
              <w:right w:val="single" w:color="auto" w:sz="4" w:space="0"/>
            </w:tcBorders>
            <w:noWrap/>
          </w:tcPr>
          <w:p w14:paraId="74BDC4C8">
            <w:pPr>
              <w:shd w:val="clear" w:color="auto" w:fill="FFFFFF" w:themeFill="background1"/>
              <w:spacing w:line="360" w:lineRule="exact"/>
              <w:jc w:val="center"/>
              <w:rPr>
                <w:rFonts w:ascii="宋体" w:hAnsi="宋体" w:cs="宋体"/>
                <w:b/>
                <w:bCs/>
                <w:color w:val="auto"/>
                <w:szCs w:val="21"/>
                <w:highlight w:val="none"/>
              </w:rPr>
            </w:pPr>
          </w:p>
        </w:tc>
        <w:tc>
          <w:tcPr>
            <w:tcW w:w="610" w:type="dxa"/>
            <w:tcBorders>
              <w:top w:val="single" w:color="auto" w:sz="4" w:space="0"/>
              <w:left w:val="single" w:color="auto" w:sz="4" w:space="0"/>
              <w:bottom w:val="single" w:color="auto" w:sz="4" w:space="0"/>
              <w:right w:val="single" w:color="auto" w:sz="4" w:space="0"/>
            </w:tcBorders>
            <w:noWrap/>
            <w:vAlign w:val="center"/>
          </w:tcPr>
          <w:p w14:paraId="5112EE95">
            <w:pPr>
              <w:shd w:val="clear" w:color="auto" w:fill="FFFFFF" w:themeFill="background1"/>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166" w:type="dxa"/>
            <w:tcBorders>
              <w:top w:val="single" w:color="auto" w:sz="4" w:space="0"/>
              <w:left w:val="single" w:color="auto" w:sz="4" w:space="0"/>
              <w:bottom w:val="single" w:color="auto" w:sz="4" w:space="0"/>
              <w:right w:val="single" w:color="auto" w:sz="4" w:space="0"/>
            </w:tcBorders>
            <w:noWrap/>
            <w:vAlign w:val="center"/>
          </w:tcPr>
          <w:p w14:paraId="39E6E58F">
            <w:pPr>
              <w:shd w:val="clear" w:color="auto" w:fill="FFFFFF" w:themeFill="background1"/>
              <w:spacing w:line="36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西门子超高端螺旋CT等设备维保服务（重）</w:t>
            </w:r>
          </w:p>
        </w:tc>
        <w:tc>
          <w:tcPr>
            <w:tcW w:w="912" w:type="dxa"/>
            <w:tcBorders>
              <w:top w:val="single" w:color="auto" w:sz="4" w:space="0"/>
              <w:left w:val="single" w:color="auto" w:sz="4" w:space="0"/>
              <w:bottom w:val="single" w:color="auto" w:sz="4" w:space="0"/>
              <w:right w:val="single" w:color="auto" w:sz="4" w:space="0"/>
            </w:tcBorders>
            <w:noWrap/>
            <w:vAlign w:val="center"/>
          </w:tcPr>
          <w:p w14:paraId="12369316">
            <w:pPr>
              <w:shd w:val="clear" w:color="auto" w:fill="FFFFFF" w:themeFill="background1"/>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5432" w:type="dxa"/>
            <w:tcBorders>
              <w:top w:val="single" w:color="auto" w:sz="4" w:space="0"/>
              <w:left w:val="single" w:color="auto" w:sz="4" w:space="0"/>
              <w:bottom w:val="single" w:color="auto" w:sz="4" w:space="0"/>
              <w:right w:val="single" w:color="auto" w:sz="4" w:space="0"/>
            </w:tcBorders>
            <w:noWrap/>
            <w:vAlign w:val="center"/>
          </w:tcPr>
          <w:p w14:paraId="2F0B5811">
            <w:pPr>
              <w:shd w:val="clear" w:color="auto" w:fill="FFFFFF" w:themeFill="background1"/>
              <w:spacing w:line="360" w:lineRule="exact"/>
              <w:jc w:val="left"/>
              <w:rPr>
                <w:rFonts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一、项目内容：</w:t>
            </w:r>
          </w:p>
          <w:p w14:paraId="09573F51">
            <w:pPr>
              <w:shd w:val="clear" w:color="auto" w:fill="FFFFFF" w:themeFill="background1"/>
              <w:spacing w:line="3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1、项目名称：</w:t>
            </w:r>
            <w:r>
              <w:rPr>
                <w:rFonts w:hint="eastAsia" w:ascii="宋体" w:hAnsi="宋体" w:cs="宋体"/>
                <w:color w:val="auto"/>
                <w:szCs w:val="21"/>
                <w:highlight w:val="none"/>
                <w:lang w:eastAsia="zh-CN"/>
              </w:rPr>
              <w:t>西门子超高端螺旋CT等设备维保服务（重）</w:t>
            </w:r>
          </w:p>
          <w:p w14:paraId="70252694">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2、实施地点：广西医科大学第二附属医院院内</w:t>
            </w:r>
          </w:p>
          <w:p w14:paraId="5B100D95">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3、设备品牌及数量：西门子；型号：CT SOMATOM Definition Flash（1台）、DR MULTIX Fusion Max（2台）、胃肠机 Luminos Fusion VE FD（1台）、C臂Cios Fusion（1台）；</w:t>
            </w:r>
          </w:p>
          <w:p w14:paraId="7444CE08">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4、设备数量：共5台；</w:t>
            </w:r>
          </w:p>
          <w:p w14:paraId="7837C353">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5、时间：三年维保。</w:t>
            </w:r>
          </w:p>
          <w:p w14:paraId="60487E97">
            <w:pPr>
              <w:shd w:val="clear" w:color="auto" w:fill="FFFFFF" w:themeFill="background1"/>
              <w:spacing w:line="360" w:lineRule="exact"/>
              <w:jc w:val="left"/>
              <w:rPr>
                <w:rFonts w:ascii="宋体" w:hAnsi="宋体" w:cs="宋体"/>
                <w:color w:val="auto"/>
                <w:szCs w:val="21"/>
                <w:highlight w:val="none"/>
              </w:rPr>
            </w:pPr>
            <w:r>
              <w:rPr>
                <w:rFonts w:hint="eastAsia" w:ascii="宋体" w:hAnsi="宋体" w:cs="宋体"/>
                <w:color w:val="auto"/>
                <w:szCs w:val="21"/>
                <w:highlight w:val="none"/>
              </w:rPr>
              <w:t>二、维保范围：</w:t>
            </w:r>
          </w:p>
          <w:p w14:paraId="117ACACF">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1、维保设备品牌型号：西门子；型号： CT SOMATOM Definition Flash（1台）、DR MULTIX Fusion Max（2台）、胃肠机 Luminos Fusion VE FD（1台）、C臂Cios Fusion（1台）。</w:t>
            </w:r>
          </w:p>
          <w:p w14:paraId="74C4B277">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2、维保范围：</w:t>
            </w:r>
          </w:p>
          <w:p w14:paraId="4A8746F9">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SOMATOM Definition Flash：保修范围：设备全保服务，包括常规备件、管球、探测器、高压油箱、水冷机、工时、保养及附属工作站等；其他第三方的产品除外。</w:t>
            </w:r>
          </w:p>
          <w:p w14:paraId="7C059451">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MULTIX Fusion Max：保修范围：设备全保服务，包括常规备件、球管、平板探测器、工时、保养（体检中心1台包含拆机、搬运至新安装地点、再安装调试及所需备品备件等）；其他第三方的产品除外。</w:t>
            </w:r>
          </w:p>
          <w:p w14:paraId="57264869">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Luminos Fusion VE FD：保修范围：设备全保服务，包括常规备件、球管、平板探测器、工时、保养等；其他第三方的产品除外。</w:t>
            </w:r>
          </w:p>
          <w:p w14:paraId="28A73F74">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Cios Fusion：保修范围：常规备件、工时、保养；一体化球管、平板探测器、再安装所需备品备件及其他第三方的产品除外。</w:t>
            </w:r>
          </w:p>
          <w:p w14:paraId="6CCE968B">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▲3、保修的备件免费维修更换，更换的不良品由供应商负责处理，备件必须是原厂原装未拆封的备件。</w:t>
            </w:r>
          </w:p>
          <w:p w14:paraId="5DD4CB20">
            <w:pPr>
              <w:shd w:val="clear" w:color="auto" w:fill="FFFFFF" w:themeFill="background1"/>
              <w:spacing w:line="360" w:lineRule="exact"/>
              <w:jc w:val="left"/>
              <w:rPr>
                <w:rFonts w:ascii="宋体" w:hAnsi="宋体" w:cs="宋体"/>
                <w:color w:val="auto"/>
                <w:szCs w:val="21"/>
                <w:highlight w:val="none"/>
              </w:rPr>
            </w:pPr>
            <w:r>
              <w:rPr>
                <w:rFonts w:hint="eastAsia" w:ascii="宋体" w:hAnsi="宋体" w:cs="宋体"/>
                <w:color w:val="auto"/>
                <w:szCs w:val="21"/>
                <w:highlight w:val="none"/>
              </w:rPr>
              <w:t>三、技术参数内容要求：</w:t>
            </w:r>
          </w:p>
          <w:p w14:paraId="6F762FCA">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（一）CT维保参数</w:t>
            </w:r>
          </w:p>
          <w:p w14:paraId="2C4B8BE5">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包含工时：包含在保修合同期内所需的人工费用，享有维保公司优先派工的权利，7×24小时提供服务。电话报修要求2小时内响应，如果合同设备停机且需要现场服务，工程师须在24小时内到达维修现场。（不可抗力除外）</w:t>
            </w:r>
          </w:p>
          <w:p w14:paraId="7424EA02">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2、安全检查：安全检查将按照厂家标准及当地规定执行，在每次设备保养时，具体包括：</w:t>
            </w:r>
          </w:p>
          <w:p w14:paraId="12772289">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（1）制定检查计划；</w:t>
            </w:r>
          </w:p>
          <w:p w14:paraId="6E8AF104">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（2）机械安全检查；</w:t>
            </w:r>
          </w:p>
          <w:p w14:paraId="556ED040">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（3）电气安全检查；</w:t>
            </w:r>
          </w:p>
          <w:p w14:paraId="26AFC278">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（4）记录检查结果；</w:t>
            </w:r>
          </w:p>
          <w:p w14:paraId="7A72BB11">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（5）出具安全检测报告。</w:t>
            </w:r>
          </w:p>
          <w:p w14:paraId="3FE19E0D">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▲3、质量保证：通过以下任务和工作以保证设备质量达到厂家颁布的质量标准：</w:t>
            </w:r>
          </w:p>
          <w:p w14:paraId="49002BD2">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（1）制定检查计划；</w:t>
            </w:r>
          </w:p>
          <w:p w14:paraId="1CBAA277">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（2）图象质量（效果）检查；</w:t>
            </w:r>
          </w:p>
          <w:p w14:paraId="50352238">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（3）评判参数结果；</w:t>
            </w:r>
          </w:p>
          <w:p w14:paraId="0D1885EE">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（4）调整/校准；</w:t>
            </w:r>
          </w:p>
          <w:p w14:paraId="7CD31A6F">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（5）记录检查结果。</w:t>
            </w:r>
          </w:p>
          <w:p w14:paraId="57C8C101">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4、安全升级：按照建议及要求提供安全性软件升级，以提高设备的安全性。</w:t>
            </w:r>
          </w:p>
          <w:p w14:paraId="3DBE1D92">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（1）持续监控设备是否需要升级；</w:t>
            </w:r>
          </w:p>
          <w:p w14:paraId="61F87953">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（2）提供安全性升级；</w:t>
            </w:r>
          </w:p>
          <w:p w14:paraId="1036703E">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（3）提供建议性升级；</w:t>
            </w:r>
          </w:p>
          <w:p w14:paraId="4DCBEFBC">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（4）记录升级程序。</w:t>
            </w:r>
          </w:p>
          <w:p w14:paraId="52E8F436">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5、技术电话支持</w:t>
            </w:r>
          </w:p>
          <w:p w14:paraId="048660EC">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全国范围内免费热线电话，由维保公司设备运行保障中心提供快速诊断和支持服务：技术电话支持(24×7)，周一至周日，每天24小时。</w:t>
            </w:r>
          </w:p>
          <w:p w14:paraId="006A3F42">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、包含备件：维修设备时更换问题部件（旧件交由维保公司处理），并负责备件的运输，具体包括：</w:t>
            </w:r>
          </w:p>
          <w:p w14:paraId="4EA3925F">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（1）提供保修所需的备件供应要及时、充足。</w:t>
            </w:r>
          </w:p>
          <w:p w14:paraId="2CB23809">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（2）备件必须是原厂提供的未拆封原装备件。</w:t>
            </w:r>
          </w:p>
          <w:p w14:paraId="6DDECDB6">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（3）优先运送零配件，回收报废部件。</w:t>
            </w:r>
          </w:p>
          <w:p w14:paraId="3AF09521">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（4）包括常规备件球管、探测器、高压油箱在内的所有备件均在保修范围内，但再安装及所需备品备件、其他第三方厂家产品除外。</w:t>
            </w:r>
          </w:p>
          <w:p w14:paraId="193C76A3">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、预防性保养：每合同年度内两次，按照计划提供，以保证设备处于最佳运行状态，包括：</w:t>
            </w:r>
          </w:p>
          <w:p w14:paraId="2C175DB9">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（1）记录并安排保养时间；</w:t>
            </w:r>
          </w:p>
          <w:p w14:paraId="0386625C">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（2）保养计划更换损耗部件；</w:t>
            </w:r>
          </w:p>
          <w:p w14:paraId="389B3776">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（3）检测；</w:t>
            </w:r>
          </w:p>
          <w:p w14:paraId="66379FE8">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（4）按照厂家标准进行调校；</w:t>
            </w:r>
          </w:p>
          <w:p w14:paraId="3178DE16">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（5）确认各项技术指标及性能；</w:t>
            </w:r>
          </w:p>
          <w:p w14:paraId="599971A2">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（6）记录设备状况；</w:t>
            </w:r>
          </w:p>
          <w:p w14:paraId="001F1BCC">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（7）提供设备原厂保养内容清单。</w:t>
            </w:r>
          </w:p>
          <w:p w14:paraId="77F84B94">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、预防性保养损耗品：预防性保养中需更换的损耗品由中标人提供，费用包含在报价中。</w:t>
            </w:r>
          </w:p>
          <w:p w14:paraId="0CE8EA5B">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、可对设备进行前瞻性动态实时监测。</w:t>
            </w:r>
          </w:p>
          <w:p w14:paraId="28CC3864">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、开机率：在合同期内保证95%的开机率（停机时间少于5%），按一年365个日历日计算。如果此开机率由于中标人的原因未能达到，对于开机率低于95%的每一个百分点，维修合同期限将相应延长7个日历日。</w:t>
            </w:r>
          </w:p>
          <w:p w14:paraId="263B6DBF">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、投标人承诺能够提供不低于原厂技术标准的维保服务。</w:t>
            </w:r>
          </w:p>
          <w:p w14:paraId="2F92B1F4">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或授权服务机构对投标产品服务工程师≥2名，并且具有保修该设备有效的医疗设备服务资质证。需提供有效期内的经设备生产商培训机构针对与本标的同类型设备的培训证书作为工程师培训资质证明，并提供聘用合同或有效期内的工牌作为工程师在职证明。</w:t>
            </w:r>
          </w:p>
          <w:p w14:paraId="70C7B63A">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、供应商在维保服务期限内必须为该维保设备出具年度设备运行评估报告。</w:t>
            </w:r>
          </w:p>
          <w:p w14:paraId="6448F0F6">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（二）DR、胃肠机（MULTIX Fusion Max、Luminos Fusion VE FD）维保参数要求：</w:t>
            </w:r>
          </w:p>
          <w:p w14:paraId="33467034">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包含工时：包含在保修合同期内所需的人工费用，享有维保公司优先派工的权利，7×24小时提供服务。电话报修要求2小时内响应，如果合同设备停机且需要现场服务，工程师要求在24小时内到达维修现场。（不可抗力除外）</w:t>
            </w:r>
          </w:p>
          <w:p w14:paraId="02D45A86">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2、安全检查：安全检查将按照厂家标准及当地规定执行，在每次设备保养时，具体包括：</w:t>
            </w:r>
          </w:p>
          <w:p w14:paraId="0EB30C38">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（1）制定检查计划；</w:t>
            </w:r>
          </w:p>
          <w:p w14:paraId="7B53889B">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（2）机械安全检查；</w:t>
            </w:r>
          </w:p>
          <w:p w14:paraId="43886B81">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（3）电气安全检查；</w:t>
            </w:r>
          </w:p>
          <w:p w14:paraId="65DDC1A9">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（4）记录检查结果；</w:t>
            </w:r>
          </w:p>
          <w:p w14:paraId="3DE005AE">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（5）出具安全检测报告。</w:t>
            </w:r>
          </w:p>
          <w:p w14:paraId="2FF05965">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▲3、质量保证：通过以下任务和工作以保证设备质量达到厂家颁布的质量标准。</w:t>
            </w:r>
          </w:p>
          <w:p w14:paraId="2F349B62">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（1）制定检查计划；</w:t>
            </w:r>
          </w:p>
          <w:p w14:paraId="2968947F">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（2）图象质量（效果）检查；</w:t>
            </w:r>
          </w:p>
          <w:p w14:paraId="6053DEB2">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（3）评判参数结果；</w:t>
            </w:r>
          </w:p>
          <w:p w14:paraId="097CEACE">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（4）调整/校准；</w:t>
            </w:r>
          </w:p>
          <w:p w14:paraId="41518C00">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（5）记录检查结果。</w:t>
            </w:r>
          </w:p>
          <w:p w14:paraId="30566240">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4、安全升级：按照建议及要求提供安全性软件升级，以提高设备的安全性。</w:t>
            </w:r>
          </w:p>
          <w:p w14:paraId="68AF53B0">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（1）持续监控设备是否需要升级；</w:t>
            </w:r>
          </w:p>
          <w:p w14:paraId="3C4A7B61">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（2）提供安全性升级；</w:t>
            </w:r>
          </w:p>
          <w:p w14:paraId="74672ADD">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（3）提供建议性升级；</w:t>
            </w:r>
          </w:p>
          <w:p w14:paraId="2DDCE441">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（4）记录升级程序。</w:t>
            </w:r>
          </w:p>
          <w:p w14:paraId="7C025669">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5、技术电话支持：</w:t>
            </w:r>
          </w:p>
          <w:p w14:paraId="7AEC20C6">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全国范围内免费热线电话，由维保公司设备运行保障中心提供快速诊断和支持服务：技术电话支持(24×7)，周一至周日，每天24小时。</w:t>
            </w:r>
          </w:p>
          <w:p w14:paraId="27C77AE6">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、包含备件：维修设备时更换问题部件（旧件交由维保公司处理），并负责备件的运输，具体包括：</w:t>
            </w:r>
          </w:p>
          <w:p w14:paraId="1107C3F7">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（1）提供保修所需的备件供应要及时、充足；</w:t>
            </w:r>
          </w:p>
          <w:p w14:paraId="2576E955">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（2）备件必须是原厂提供的未拆封原装备件；</w:t>
            </w:r>
          </w:p>
          <w:p w14:paraId="1900463E">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（3）优先运送零配件，回收报废部件；</w:t>
            </w:r>
          </w:p>
          <w:p w14:paraId="04F75EFB">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（4）除第三方产品外，其他备件均在保修范围内。</w:t>
            </w:r>
          </w:p>
          <w:p w14:paraId="15505971">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、预防性保养：每合同年度内两次，按照计划提供，以保证设备处于最佳运行状态，包括：</w:t>
            </w:r>
          </w:p>
          <w:p w14:paraId="4AA5B487">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（1）记录并安排保养时间；</w:t>
            </w:r>
          </w:p>
          <w:p w14:paraId="1379E0D1">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（2）保养计划更换损耗部件；</w:t>
            </w:r>
          </w:p>
          <w:p w14:paraId="473878A3">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（3）检测；</w:t>
            </w:r>
          </w:p>
          <w:p w14:paraId="3CB6B361">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（4）按照厂家标准进行调校；</w:t>
            </w:r>
          </w:p>
          <w:p w14:paraId="332CEDA6">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（5）确认各项技术指标及性能；</w:t>
            </w:r>
          </w:p>
          <w:p w14:paraId="10622E09">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（6）记录设备状况；</w:t>
            </w:r>
          </w:p>
          <w:p w14:paraId="2956D261">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（7）提供设备原厂保养内容清单。</w:t>
            </w:r>
          </w:p>
          <w:p w14:paraId="228E71E6">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、预防性保养损耗品：预防性保养中需更换的损耗品由维保公司提供，费用包含在报价内。</w:t>
            </w:r>
          </w:p>
          <w:p w14:paraId="3FF02000">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、开机率：在合同期内保证95%的开机率（停机时间少于5%），按一年365个日历日计算。如果此开机率由于维保公司的原因未能达到，对于开机率低于95%的每一个百分点，维修合同期限将相应延长7个日历日。</w:t>
            </w:r>
          </w:p>
          <w:p w14:paraId="1327504D">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、投标人承诺能够提供不低于原厂技术标准的维保服务。</w:t>
            </w:r>
          </w:p>
          <w:p w14:paraId="3D2E1AA5">
            <w:pPr>
              <w:numPr>
                <w:ilvl w:val="0"/>
                <w:numId w:val="0"/>
              </w:numPr>
              <w:shd w:val="clear" w:color="auto" w:fill="FFFFFF" w:themeFill="background1"/>
              <w:spacing w:line="360" w:lineRule="exact"/>
              <w:ind w:firstLine="420" w:firstLineChars="200"/>
              <w:jc w:val="left"/>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szCs w:val="21"/>
                <w:highlight w:val="none"/>
              </w:rPr>
              <w:t>供应商或授权服务机构对投标产品服务工程师≥2名，并且具有保修该设备有效的医疗设备服务资质证。需提供有效期内的经设备生产商培训机构针对与本标的同类型设备的培训证书作为工程师培训资质证明，并提供</w:t>
            </w:r>
            <w:r>
              <w:rPr>
                <w:rFonts w:hint="eastAsia"/>
                <w:color w:val="auto"/>
                <w:highlight w:val="none"/>
              </w:rPr>
              <w:t>聘用合同</w:t>
            </w:r>
            <w:r>
              <w:rPr>
                <w:rFonts w:hint="eastAsia" w:ascii="宋体" w:hAnsi="宋体" w:cs="宋体"/>
                <w:color w:val="auto"/>
                <w:szCs w:val="21"/>
                <w:highlight w:val="none"/>
              </w:rPr>
              <w:t>或有效期内的工牌作为工程师在职证明</w:t>
            </w:r>
          </w:p>
          <w:p w14:paraId="46C1FA72">
            <w:pPr>
              <w:numPr>
                <w:ilvl w:val="0"/>
                <w:numId w:val="0"/>
              </w:numPr>
              <w:shd w:val="clear" w:color="auto" w:fill="FFFFFF" w:themeFill="background1"/>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、供应商在维保服务期限内必须为该维保设备出具年度设备运行评估报告。</w:t>
            </w:r>
          </w:p>
          <w:p w14:paraId="331B3D63">
            <w:pPr>
              <w:numPr>
                <w:ilvl w:val="0"/>
                <w:numId w:val="0"/>
              </w:numPr>
              <w:shd w:val="clear" w:color="auto" w:fill="FFFFFF" w:themeFill="background1"/>
              <w:spacing w:line="360" w:lineRule="exact"/>
              <w:ind w:firstLine="420" w:firstLineChars="200"/>
              <w:jc w:val="left"/>
              <w:rPr>
                <w:rFonts w:hint="eastAsia" w:ascii="宋体" w:hAnsi="宋体" w:cs="宋体"/>
                <w:color w:val="auto"/>
                <w:szCs w:val="21"/>
                <w:highlight w:val="none"/>
              </w:rPr>
            </w:pPr>
            <w:r>
              <w:rPr>
                <w:rFonts w:hint="eastAsia" w:hAnsi="宋体" w:cs="宋体"/>
                <w:color w:val="auto"/>
                <w:szCs w:val="21"/>
                <w:highlight w:val="none"/>
              </w:rPr>
              <w:t>▲</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、其</w:t>
            </w:r>
            <w:r>
              <w:rPr>
                <w:rFonts w:hint="eastAsia"/>
                <w:color w:val="auto"/>
                <w:highlight w:val="none"/>
              </w:rPr>
              <w:t>中</w:t>
            </w:r>
            <w:r>
              <w:rPr>
                <w:rFonts w:hint="eastAsia" w:hAnsi="宋体" w:cs="宋体"/>
                <w:color w:val="auto"/>
                <w:szCs w:val="21"/>
                <w:highlight w:val="none"/>
              </w:rPr>
              <w:t>1台DR除上述维保要求外，还包含一次拆机、搬运至新安装地点、再安装调试及所需备品备件。</w:t>
            </w:r>
          </w:p>
          <w:p w14:paraId="703DB85F">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（三）小C臂维保参数要求：</w:t>
            </w:r>
          </w:p>
          <w:p w14:paraId="076259AA">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▲1、包含工时：包含在保修合同期内所需的人工费用，享有维保公司优先派工的权利，7×24小时提供服务。电话报修要求2小时内响应，如果合同设备停机且需要现场服务，工程师</w:t>
            </w:r>
            <w:r>
              <w:rPr>
                <w:rFonts w:hint="eastAsia" w:ascii="宋体" w:hAnsi="宋体" w:cs="宋体"/>
                <w:color w:val="auto"/>
                <w:szCs w:val="21"/>
                <w:highlight w:val="none"/>
                <w:lang w:val="en-US" w:eastAsia="zh-CN"/>
              </w:rPr>
              <w:t>要求</w:t>
            </w:r>
            <w:r>
              <w:rPr>
                <w:rFonts w:hint="eastAsia" w:ascii="宋体" w:hAnsi="宋体" w:cs="宋体"/>
                <w:color w:val="auto"/>
                <w:szCs w:val="21"/>
                <w:highlight w:val="none"/>
              </w:rPr>
              <w:t>在24小时内到达维修现场。（不可抗力除外）</w:t>
            </w:r>
          </w:p>
          <w:p w14:paraId="24AADF85">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2、安全检查：安全检查将按照厂家标准及当地规定执行，在每次设备保养时，具体包括：</w:t>
            </w:r>
          </w:p>
          <w:p w14:paraId="32CF82C6">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（1）制定检查计划；</w:t>
            </w:r>
          </w:p>
          <w:p w14:paraId="6A569E23">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（2）机械安全检查；</w:t>
            </w:r>
          </w:p>
          <w:p w14:paraId="2A853A3A">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（3）电气安全检查；</w:t>
            </w:r>
          </w:p>
          <w:p w14:paraId="74DE6B9A">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（4）记录检查结果；</w:t>
            </w:r>
          </w:p>
          <w:p w14:paraId="331227F8">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（5）出具安全检测报告。</w:t>
            </w:r>
          </w:p>
          <w:p w14:paraId="69A38FDE">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▲3、质量保证：通过以下任务和工作以保证设备质量达到厂家颁布的质量标准：</w:t>
            </w:r>
          </w:p>
          <w:p w14:paraId="75BA819A">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（1）制定检查计划；</w:t>
            </w:r>
          </w:p>
          <w:p w14:paraId="72B3D736">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（2）图象质量（效果）检查；</w:t>
            </w:r>
          </w:p>
          <w:p w14:paraId="14ED619E">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（3）评判参数结果；</w:t>
            </w:r>
          </w:p>
          <w:p w14:paraId="1C1D584E">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（4）调整/校准；</w:t>
            </w:r>
          </w:p>
          <w:p w14:paraId="78B24499">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（5）记录检查结果。</w:t>
            </w:r>
          </w:p>
          <w:p w14:paraId="0F46EF37">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4、安全升级：按照建议及要求提供安全性软件升级，以提高设备的安全性。</w:t>
            </w:r>
          </w:p>
          <w:p w14:paraId="53D65F75">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（1）持续监控设备是否需要升级；</w:t>
            </w:r>
          </w:p>
          <w:p w14:paraId="5E30905E">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（2）提供安全性升级；</w:t>
            </w:r>
          </w:p>
          <w:p w14:paraId="5D46A269">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（3）提供建议性升级；</w:t>
            </w:r>
          </w:p>
          <w:p w14:paraId="19B166B7">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（4）记录升级程序。</w:t>
            </w:r>
          </w:p>
          <w:p w14:paraId="4FA252AB">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5、技术电话支持</w:t>
            </w:r>
          </w:p>
          <w:p w14:paraId="23DCC545">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全国范围内免费热线电话，由维保公司设备运行保障中心提供快速诊断和支持服务：技术电话支持(24×7)，周一至周日，每天24小时。</w:t>
            </w:r>
          </w:p>
          <w:p w14:paraId="68B86CCE">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▲6、包含备件：维修设备时更换问题部件（旧件交由维保公司处理），并负责备件的运输，具体包括：</w:t>
            </w:r>
          </w:p>
          <w:p w14:paraId="3688D785">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（1）提供保修所需的备件供应要及时、充足；</w:t>
            </w:r>
          </w:p>
          <w:p w14:paraId="73892579">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（2）备件必须是原厂提供的未拆封原装备件；</w:t>
            </w:r>
          </w:p>
          <w:p w14:paraId="3755F368">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（3）优先运送零配件，回收报废部件；</w:t>
            </w:r>
          </w:p>
          <w:p w14:paraId="74AFF8DF">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（4）除平板探测器、一体化球管、其他第三方产品外，其他备件均在保修范围内。</w:t>
            </w:r>
          </w:p>
          <w:p w14:paraId="0E561B6F">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▲7、预防性保养：每合同年度内两次，按照计划提供，以保证设备处于最佳运行状态，包括：</w:t>
            </w:r>
          </w:p>
          <w:p w14:paraId="3CDB5559">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（1）记录并安排保养时间；</w:t>
            </w:r>
          </w:p>
          <w:p w14:paraId="5BAEAB90">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（2）保养计划更换损耗部件；</w:t>
            </w:r>
          </w:p>
          <w:p w14:paraId="0C589ED0">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（3）检测；</w:t>
            </w:r>
          </w:p>
          <w:p w14:paraId="466C2A64">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（4）按照厂家标准进行调校；</w:t>
            </w:r>
          </w:p>
          <w:p w14:paraId="6BB0444C">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（5）确认各项技术指标及性能；</w:t>
            </w:r>
          </w:p>
          <w:p w14:paraId="2D79D28E">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（6）记录设备状况；</w:t>
            </w:r>
          </w:p>
          <w:p w14:paraId="7FD3526F">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（7）提供设备原厂保养内容清单。</w:t>
            </w:r>
          </w:p>
          <w:p w14:paraId="2CA2CD30">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▲8、预防性保养损耗品：预防性保养中需更换的损耗品由维保公司提供，费用包含在报价中。</w:t>
            </w:r>
          </w:p>
          <w:p w14:paraId="1E027EB8">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▲9、开机率：在合同期内保证95%的开机率（停机时间少于5%），按一年365个日历日计算。如果此开机率由于维保公司的原因未能达到，对于开机率低于95%的每一个百分点，维修合同期限将相应延长7个日历日。</w:t>
            </w:r>
          </w:p>
          <w:p w14:paraId="49F10CA3">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▲10、投标人承诺能够提供不低于原厂技术标准的维保服务。</w:t>
            </w:r>
          </w:p>
          <w:p w14:paraId="5BB88B59">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供应商或授权服务机构对投标产品服务工程师≥2名，并且具有保修该设备有效的医疗设备服务资质证。需提供有效期内的经设备生产商培训机构针对与本标的同类型设备的培训证书作为工程师培训资质证明，并提供</w:t>
            </w:r>
            <w:r>
              <w:rPr>
                <w:rFonts w:hint="eastAsia"/>
                <w:color w:val="auto"/>
                <w:highlight w:val="none"/>
              </w:rPr>
              <w:t>聘用合同</w:t>
            </w:r>
            <w:r>
              <w:rPr>
                <w:rFonts w:hint="eastAsia" w:ascii="宋体" w:hAnsi="宋体" w:cs="宋体"/>
                <w:color w:val="auto"/>
                <w:szCs w:val="21"/>
                <w:highlight w:val="none"/>
              </w:rPr>
              <w:t>或有效期内的工牌作为工程师在职证明</w:t>
            </w:r>
          </w:p>
          <w:p w14:paraId="20EA3DDB">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▲12、供应商在维保服务期限内必须为该维保设备出具年度设备运行评估报告。</w:t>
            </w:r>
          </w:p>
        </w:tc>
        <w:tc>
          <w:tcPr>
            <w:tcW w:w="1663" w:type="dxa"/>
            <w:tcBorders>
              <w:top w:val="single" w:color="auto" w:sz="4" w:space="0"/>
              <w:left w:val="single" w:color="auto" w:sz="4" w:space="0"/>
              <w:bottom w:val="single" w:color="auto" w:sz="4" w:space="0"/>
              <w:right w:val="single" w:color="auto" w:sz="4" w:space="0"/>
            </w:tcBorders>
            <w:noWrap/>
            <w:vAlign w:val="center"/>
          </w:tcPr>
          <w:p w14:paraId="59B18823">
            <w:pPr>
              <w:shd w:val="clear" w:color="auto" w:fill="FFFFFF" w:themeFill="background1"/>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其他未列明行业</w:t>
            </w:r>
          </w:p>
        </w:tc>
      </w:tr>
      <w:tr w14:paraId="43FAD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tcBorders>
              <w:top w:val="single" w:color="auto" w:sz="4" w:space="0"/>
              <w:left w:val="single" w:color="auto" w:sz="4" w:space="0"/>
              <w:bottom w:val="single" w:color="auto" w:sz="4" w:space="0"/>
              <w:right w:val="single" w:color="auto" w:sz="4" w:space="0"/>
            </w:tcBorders>
            <w:noWrap/>
            <w:vAlign w:val="center"/>
          </w:tcPr>
          <w:p w14:paraId="04A8541A">
            <w:pPr>
              <w:shd w:val="clear" w:color="auto" w:fill="FFFFFF" w:themeFill="background1"/>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商务条款</w:t>
            </w:r>
          </w:p>
        </w:tc>
        <w:tc>
          <w:tcPr>
            <w:tcW w:w="9783" w:type="dxa"/>
            <w:gridSpan w:val="5"/>
            <w:tcBorders>
              <w:top w:val="single" w:color="auto" w:sz="4" w:space="0"/>
              <w:left w:val="single" w:color="auto" w:sz="4" w:space="0"/>
              <w:bottom w:val="single" w:color="auto" w:sz="4" w:space="0"/>
              <w:right w:val="single" w:color="auto" w:sz="4" w:space="0"/>
            </w:tcBorders>
            <w:noWrap/>
            <w:vAlign w:val="center"/>
          </w:tcPr>
          <w:p w14:paraId="35CE828F">
            <w:pPr>
              <w:shd w:val="clear" w:color="auto" w:fill="FFFFFF" w:themeFill="background1"/>
              <w:spacing w:line="360" w:lineRule="exact"/>
              <w:rPr>
                <w:rFonts w:ascii="宋体" w:hAnsi="宋体" w:cs="宋体"/>
                <w:color w:val="auto"/>
                <w:szCs w:val="21"/>
                <w:highlight w:val="none"/>
              </w:rPr>
            </w:pPr>
            <w:r>
              <w:rPr>
                <w:rFonts w:hint="eastAsia" w:ascii="宋体" w:hAnsi="宋体" w:cs="宋体"/>
                <w:color w:val="auto"/>
                <w:szCs w:val="21"/>
                <w:highlight w:val="none"/>
              </w:rPr>
              <w:t>一、合同签订期：自中标通知书发出之日起25个自然日内。</w:t>
            </w:r>
          </w:p>
          <w:p w14:paraId="10B40513">
            <w:pPr>
              <w:shd w:val="clear" w:color="auto" w:fill="FFFFFF" w:themeFill="background1"/>
              <w:spacing w:line="360" w:lineRule="exact"/>
              <w:rPr>
                <w:rFonts w:ascii="宋体" w:hAnsi="宋体" w:cs="宋体"/>
                <w:color w:val="auto"/>
                <w:szCs w:val="21"/>
                <w:highlight w:val="none"/>
              </w:rPr>
            </w:pPr>
            <w:r>
              <w:rPr>
                <w:rFonts w:hint="eastAsia" w:ascii="宋体" w:hAnsi="宋体" w:cs="宋体"/>
                <w:color w:val="auto"/>
                <w:szCs w:val="21"/>
                <w:highlight w:val="none"/>
              </w:rPr>
              <w:t>二、服务期限：自合同签订之日起服务期三年。</w:t>
            </w:r>
          </w:p>
          <w:p w14:paraId="3DCB85F8">
            <w:pPr>
              <w:shd w:val="clear" w:color="auto" w:fill="FFFFFF" w:themeFill="background1"/>
              <w:spacing w:line="360" w:lineRule="exact"/>
              <w:rPr>
                <w:rFonts w:hint="eastAsia" w:ascii="宋体" w:hAnsi="宋体" w:cs="宋体"/>
                <w:color w:val="auto"/>
                <w:szCs w:val="21"/>
                <w:highlight w:val="none"/>
              </w:rPr>
            </w:pPr>
            <w:r>
              <w:rPr>
                <w:rFonts w:hint="eastAsia" w:ascii="宋体" w:hAnsi="宋体" w:cs="宋体"/>
                <w:color w:val="auto"/>
                <w:szCs w:val="21"/>
                <w:highlight w:val="none"/>
              </w:rPr>
              <w:t>三、服务地点：广西南宁市采购人指定地点。</w:t>
            </w:r>
          </w:p>
          <w:p w14:paraId="1E40C65F">
            <w:pPr>
              <w:shd w:val="clear" w:color="auto" w:fill="FFFFFF" w:themeFill="background1"/>
              <w:spacing w:line="360" w:lineRule="exact"/>
              <w:rPr>
                <w:rFonts w:hint="eastAsia" w:ascii="宋体" w:hAnsi="宋体" w:cs="宋体"/>
                <w:color w:val="auto"/>
                <w:szCs w:val="21"/>
                <w:highlight w:val="none"/>
              </w:rPr>
            </w:pPr>
            <w:r>
              <w:rPr>
                <w:rFonts w:hint="eastAsia" w:ascii="宋体" w:hAnsi="宋体" w:cs="宋体"/>
                <w:color w:val="auto"/>
                <w:szCs w:val="21"/>
                <w:highlight w:val="none"/>
              </w:rPr>
              <w:t>四、付款方式及要求：本合同全款额分为四次支付，付款前需提供对应金额发票：</w:t>
            </w:r>
          </w:p>
          <w:p w14:paraId="240A293F">
            <w:pPr>
              <w:shd w:val="clear" w:color="auto" w:fill="FFFFFF" w:themeFill="background1"/>
              <w:spacing w:line="360" w:lineRule="exact"/>
              <w:rPr>
                <w:rFonts w:hint="eastAsia" w:ascii="宋体" w:hAnsi="宋体" w:cs="宋体"/>
                <w:color w:val="auto"/>
                <w:szCs w:val="21"/>
                <w:highlight w:val="none"/>
              </w:rPr>
            </w:pPr>
            <w:r>
              <w:rPr>
                <w:rFonts w:hint="eastAsia" w:ascii="宋体" w:hAnsi="宋体" w:cs="宋体"/>
                <w:color w:val="auto"/>
                <w:szCs w:val="21"/>
                <w:highlight w:val="none"/>
              </w:rPr>
              <w:t>第一期合同款30%，合同生效后支付。</w:t>
            </w:r>
          </w:p>
          <w:p w14:paraId="67AB5887">
            <w:pPr>
              <w:shd w:val="clear" w:color="auto" w:fill="FFFFFF" w:themeFill="background1"/>
              <w:spacing w:line="360" w:lineRule="exact"/>
              <w:rPr>
                <w:rFonts w:hint="eastAsia" w:ascii="宋体" w:hAnsi="宋体" w:cs="宋体"/>
                <w:color w:val="auto"/>
                <w:szCs w:val="21"/>
                <w:highlight w:val="none"/>
              </w:rPr>
            </w:pPr>
            <w:r>
              <w:rPr>
                <w:rFonts w:hint="eastAsia" w:ascii="宋体" w:hAnsi="宋体" w:cs="宋体"/>
                <w:color w:val="auto"/>
                <w:szCs w:val="21"/>
                <w:highlight w:val="none"/>
              </w:rPr>
              <w:t>第二期合同款30%，第二年维保期开始后支付。</w:t>
            </w:r>
          </w:p>
          <w:p w14:paraId="12C36038">
            <w:pPr>
              <w:shd w:val="clear" w:color="auto" w:fill="FFFFFF" w:themeFill="background1"/>
              <w:spacing w:line="360" w:lineRule="exact"/>
              <w:rPr>
                <w:rFonts w:hint="eastAsia" w:ascii="宋体" w:hAnsi="宋体" w:cs="宋体"/>
                <w:color w:val="auto"/>
                <w:szCs w:val="21"/>
                <w:highlight w:val="none"/>
              </w:rPr>
            </w:pPr>
            <w:r>
              <w:rPr>
                <w:rFonts w:hint="eastAsia" w:ascii="宋体" w:hAnsi="宋体" w:cs="宋体"/>
                <w:color w:val="auto"/>
                <w:szCs w:val="21"/>
                <w:highlight w:val="none"/>
              </w:rPr>
              <w:t>第三期合同款30%，第三年维保期开始后支付。</w:t>
            </w:r>
          </w:p>
          <w:p w14:paraId="7EDA7DD1">
            <w:pPr>
              <w:shd w:val="clear" w:color="auto" w:fill="FFFFFF" w:themeFill="background1"/>
              <w:spacing w:line="360" w:lineRule="exact"/>
              <w:rPr>
                <w:rFonts w:hint="eastAsia" w:ascii="宋体" w:hAnsi="宋体" w:cs="宋体"/>
                <w:color w:val="auto"/>
                <w:szCs w:val="21"/>
                <w:highlight w:val="none"/>
              </w:rPr>
            </w:pPr>
            <w:r>
              <w:rPr>
                <w:rFonts w:hint="eastAsia" w:ascii="宋体" w:hAnsi="宋体" w:cs="宋体"/>
                <w:color w:val="auto"/>
                <w:szCs w:val="21"/>
                <w:highlight w:val="none"/>
              </w:rPr>
              <w:t>第四期合同款10%，维保期满后支付。</w:t>
            </w:r>
          </w:p>
          <w:p w14:paraId="5F6E977C">
            <w:pPr>
              <w:shd w:val="clear" w:color="auto" w:fill="FFFFFF" w:themeFill="background1"/>
              <w:spacing w:line="360" w:lineRule="exact"/>
              <w:rPr>
                <w:rFonts w:ascii="宋体" w:hAnsi="宋体" w:cs="宋体"/>
                <w:color w:val="auto"/>
                <w:szCs w:val="21"/>
                <w:highlight w:val="none"/>
              </w:rPr>
            </w:pPr>
            <w:r>
              <w:rPr>
                <w:rFonts w:hint="eastAsia" w:ascii="宋体" w:hAnsi="宋体" w:cs="宋体"/>
                <w:color w:val="auto"/>
                <w:szCs w:val="21"/>
                <w:highlight w:val="none"/>
              </w:rPr>
              <w:t>五、验收要求：</w:t>
            </w:r>
          </w:p>
          <w:p w14:paraId="109DD1C0">
            <w:pPr>
              <w:shd w:val="clear" w:color="auto" w:fill="FFFFFF" w:themeFill="background1"/>
              <w:spacing w:line="360" w:lineRule="exact"/>
              <w:rPr>
                <w:rFonts w:ascii="宋体" w:hAnsi="宋体" w:cs="宋体"/>
                <w:color w:val="auto"/>
                <w:szCs w:val="21"/>
                <w:highlight w:val="none"/>
              </w:rPr>
            </w:pPr>
            <w:r>
              <w:rPr>
                <w:rFonts w:hint="eastAsia" w:ascii="宋体" w:hAnsi="宋体" w:cs="宋体"/>
                <w:color w:val="auto"/>
                <w:szCs w:val="21"/>
                <w:highlight w:val="none"/>
              </w:rPr>
              <w:t>1、依据招标文件及投标人的投标文件承诺对服务项目进行验收。</w:t>
            </w:r>
          </w:p>
          <w:p w14:paraId="1EBF52C5">
            <w:pPr>
              <w:shd w:val="clear" w:color="auto" w:fill="FFFFFF" w:themeFill="background1"/>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2、服务技术参数与招标文件及投标人的投标文件承诺一致，性能或指标达到规定的标准。 </w:t>
            </w:r>
          </w:p>
          <w:p w14:paraId="72F7A485">
            <w:pPr>
              <w:shd w:val="clear" w:color="auto" w:fill="FFFFFF" w:themeFill="background1"/>
              <w:spacing w:line="360" w:lineRule="exact"/>
              <w:rPr>
                <w:rFonts w:ascii="宋体" w:hAnsi="宋体" w:cs="宋体"/>
                <w:color w:val="auto"/>
                <w:szCs w:val="21"/>
                <w:highlight w:val="none"/>
              </w:rPr>
            </w:pPr>
            <w:r>
              <w:rPr>
                <w:rFonts w:hint="eastAsia" w:ascii="宋体" w:hAnsi="宋体" w:cs="宋体"/>
                <w:color w:val="auto"/>
                <w:szCs w:val="21"/>
                <w:highlight w:val="none"/>
              </w:rPr>
              <w:t>3、验收时采购人、中标供应商等项目相关方都必须在现场（必要时邀请第三方权威机构进行验收），由采购人对照招标文件的功能目标及服务指标全面核对检验，验收完毕后，作出验收结果报告；如不符合招标文件的服务需求及要求以及提供虚假承诺的，按相关规定做不接受服务处理及违约处理，中标供应商承担所有责任和费用，采购人保留进一步追究责任的权利。</w:t>
            </w:r>
          </w:p>
          <w:p w14:paraId="352A032A">
            <w:pPr>
              <w:shd w:val="clear" w:color="auto" w:fill="FFFFFF" w:themeFill="background1"/>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4、中标供应商提供的服务未达到招标文件规定要求，且对采购人造成损失的，由中标供应商承担一切责任，并赔偿所造成的损失。 </w:t>
            </w:r>
          </w:p>
          <w:p w14:paraId="339505B9">
            <w:pPr>
              <w:shd w:val="clear" w:color="auto" w:fill="FFFFFF" w:themeFill="background1"/>
              <w:spacing w:line="360" w:lineRule="exact"/>
              <w:rPr>
                <w:rFonts w:ascii="宋体" w:hAnsi="宋体" w:cs="宋体"/>
                <w:color w:val="auto"/>
                <w:szCs w:val="21"/>
                <w:highlight w:val="none"/>
              </w:rPr>
            </w:pPr>
            <w:r>
              <w:rPr>
                <w:rFonts w:hint="eastAsia" w:ascii="宋体" w:hAnsi="宋体" w:cs="宋体"/>
                <w:color w:val="auto"/>
                <w:szCs w:val="21"/>
                <w:highlight w:val="none"/>
              </w:rPr>
              <w:t>5、其他验收要求按《关于印发广西壮族自治区政府采购项目履约验收管理办法的通知》[桂财采〔2015〕22号]以及《财政部关于进一步加强政府采购需求和履约验收管理的指导意见》[财库〔2016〕205号]规定执行。</w:t>
            </w:r>
          </w:p>
          <w:p w14:paraId="0AEB32A5">
            <w:pPr>
              <w:shd w:val="clear" w:color="auto" w:fill="FFFFFF" w:themeFill="background1"/>
              <w:spacing w:line="360" w:lineRule="exact"/>
              <w:rPr>
                <w:color w:val="auto"/>
                <w:highlight w:val="none"/>
              </w:rPr>
            </w:pPr>
            <w:r>
              <w:rPr>
                <w:rFonts w:hint="eastAsia" w:ascii="宋体" w:hAnsi="宋体" w:cs="宋体"/>
                <w:color w:val="auto"/>
                <w:szCs w:val="21"/>
                <w:highlight w:val="none"/>
              </w:rPr>
              <w:t>六、各台设备维保服务最高限价：超高端螺旋CT（1台）：125万元/年/台，放射诊断科DR及胃肠机（各1台，共2台）：各10万元/年/台，体检中心DR（含移机）（1台）：11万元/年/台，移动C臂（1台）：7万元/年/台，5台设备维保费用控制价合计489万元（3年）。</w:t>
            </w:r>
          </w:p>
        </w:tc>
      </w:tr>
    </w:tbl>
    <w:p w14:paraId="76E5ADF9">
      <w:pPr>
        <w:shd w:val="clear" w:color="auto" w:fill="FFFFFF" w:themeFill="background1"/>
        <w:rPr>
          <w:rFonts w:ascii="宋体" w:hAnsi="宋体"/>
          <w:b/>
          <w:color w:val="auto"/>
          <w:szCs w:val="21"/>
          <w:highlight w:val="none"/>
        </w:rPr>
      </w:pPr>
      <w:r>
        <w:rPr>
          <w:rFonts w:hint="eastAsia" w:ascii="宋体" w:hAnsi="宋体"/>
          <w:b/>
          <w:color w:val="auto"/>
          <w:szCs w:val="21"/>
          <w:highlight w:val="none"/>
        </w:rPr>
        <w:br w:type="page"/>
      </w:r>
    </w:p>
    <w:p w14:paraId="3F7313FC">
      <w:pPr>
        <w:pStyle w:val="10"/>
        <w:shd w:val="clear" w:color="auto" w:fill="FFFFFF" w:themeFill="background1"/>
        <w:spacing w:line="360" w:lineRule="auto"/>
        <w:rPr>
          <w:rFonts w:hAnsi="宋体" w:cs="宋体"/>
          <w:color w:val="auto"/>
          <w:sz w:val="32"/>
          <w:szCs w:val="32"/>
          <w:highlight w:val="none"/>
        </w:rPr>
      </w:pPr>
      <w:r>
        <w:rPr>
          <w:rFonts w:hint="eastAsia" w:hAnsi="宋体" w:cs="宋体"/>
          <w:color w:val="auto"/>
          <w:sz w:val="32"/>
          <w:szCs w:val="32"/>
          <w:highlight w:val="none"/>
        </w:rPr>
        <w:t>附件：</w:t>
      </w:r>
    </w:p>
    <w:p w14:paraId="142F0C77">
      <w:pPr>
        <w:widowControl/>
        <w:spacing w:before="120" w:beforeLines="50" w:after="120" w:afterLines="50" w:line="280" w:lineRule="exact"/>
        <w:jc w:val="center"/>
        <w:rPr>
          <w:rFonts w:ascii="宋体" w:hAnsi="宋体" w:cs="宋体"/>
          <w:b/>
          <w:bCs/>
          <w:color w:val="auto"/>
          <w:kern w:val="0"/>
          <w:sz w:val="30"/>
          <w:szCs w:val="30"/>
          <w:highlight w:val="none"/>
        </w:rPr>
      </w:pPr>
      <w:bookmarkStart w:id="60" w:name="_Toc28361_WPSOffice_Level2"/>
      <w:r>
        <w:rPr>
          <w:rFonts w:hint="eastAsia" w:ascii="宋体" w:hAnsi="宋体" w:cs="宋体"/>
          <w:b/>
          <w:bCs/>
          <w:color w:val="auto"/>
          <w:kern w:val="0"/>
          <w:sz w:val="30"/>
          <w:szCs w:val="30"/>
          <w:highlight w:val="none"/>
        </w:rPr>
        <w:t>统计上大中小微型企业划分标准</w:t>
      </w:r>
    </w:p>
    <w:tbl>
      <w:tblPr>
        <w:tblStyle w:val="2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556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14:paraId="1AD5C47B">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vAlign w:val="center"/>
          </w:tcPr>
          <w:p w14:paraId="4D0428FD">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vAlign w:val="center"/>
          </w:tcPr>
          <w:p w14:paraId="3F48B9E4">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46661129">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vAlign w:val="center"/>
          </w:tcPr>
          <w:p w14:paraId="0D6269B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vAlign w:val="center"/>
          </w:tcPr>
          <w:p w14:paraId="4EB1D5C1">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vAlign w:val="center"/>
          </w:tcPr>
          <w:p w14:paraId="04A362CB">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vAlign w:val="center"/>
          </w:tcPr>
          <w:p w14:paraId="56B3066D">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79AB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F38BA0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5468B6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5E549A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3DC4F1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6F3BCD6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14:paraId="5C20287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14:paraId="05D52B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9E5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6354C1E">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14:paraId="28A8BB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18245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7D95D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6E8ACD9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03FAA5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460F2D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F76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B14C811">
            <w:pPr>
              <w:widowControl/>
              <w:spacing w:line="280" w:lineRule="exact"/>
              <w:jc w:val="left"/>
              <w:rPr>
                <w:rFonts w:ascii="宋体" w:hAnsi="宋体" w:cs="宋体"/>
                <w:color w:val="auto"/>
                <w:kern w:val="0"/>
                <w:sz w:val="18"/>
                <w:szCs w:val="18"/>
                <w:highlight w:val="none"/>
              </w:rPr>
            </w:pPr>
          </w:p>
        </w:tc>
        <w:tc>
          <w:tcPr>
            <w:tcW w:w="1369" w:type="dxa"/>
            <w:vAlign w:val="center"/>
          </w:tcPr>
          <w:p w14:paraId="7D4FB0F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7D87E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7F036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61AA04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14:paraId="1200ED3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14:paraId="59B4F1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72A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F16BDD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4F9C49C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73DBCE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24BE59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20D16D0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01E48C9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14:paraId="24B20D0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097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F4FE688">
            <w:pPr>
              <w:widowControl/>
              <w:spacing w:line="280" w:lineRule="exact"/>
              <w:jc w:val="left"/>
              <w:rPr>
                <w:rFonts w:ascii="宋体" w:hAnsi="宋体" w:cs="宋体"/>
                <w:color w:val="auto"/>
                <w:kern w:val="0"/>
                <w:sz w:val="18"/>
                <w:szCs w:val="18"/>
                <w:highlight w:val="none"/>
              </w:rPr>
            </w:pPr>
          </w:p>
        </w:tc>
        <w:tc>
          <w:tcPr>
            <w:tcW w:w="1369" w:type="dxa"/>
            <w:vAlign w:val="center"/>
          </w:tcPr>
          <w:p w14:paraId="1CBF58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3A731A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CD765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54350A1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1035CE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14:paraId="429566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352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7BB3E7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5D61088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3AD807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8AF27D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1331322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53028C0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14:paraId="61E9081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1D56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3D8146C">
            <w:pPr>
              <w:widowControl/>
              <w:spacing w:line="280" w:lineRule="exact"/>
              <w:jc w:val="left"/>
              <w:rPr>
                <w:rFonts w:ascii="宋体" w:hAnsi="宋体" w:cs="宋体"/>
                <w:color w:val="auto"/>
                <w:kern w:val="0"/>
                <w:sz w:val="18"/>
                <w:szCs w:val="18"/>
                <w:highlight w:val="none"/>
              </w:rPr>
            </w:pPr>
          </w:p>
        </w:tc>
        <w:tc>
          <w:tcPr>
            <w:tcW w:w="1369" w:type="dxa"/>
            <w:vAlign w:val="center"/>
          </w:tcPr>
          <w:p w14:paraId="0118A9C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269FE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C386A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5D49AB9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782D3AED">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47C519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160C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AC10CD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51D9D3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6B238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343D965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3F68F46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7DAB048D">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7001229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E59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48433A3">
            <w:pPr>
              <w:widowControl/>
              <w:spacing w:line="280" w:lineRule="exact"/>
              <w:jc w:val="left"/>
              <w:rPr>
                <w:rFonts w:ascii="宋体" w:hAnsi="宋体" w:cs="宋体"/>
                <w:color w:val="auto"/>
                <w:kern w:val="0"/>
                <w:sz w:val="18"/>
                <w:szCs w:val="18"/>
                <w:highlight w:val="none"/>
              </w:rPr>
            </w:pPr>
          </w:p>
        </w:tc>
        <w:tc>
          <w:tcPr>
            <w:tcW w:w="1369" w:type="dxa"/>
            <w:vAlign w:val="center"/>
          </w:tcPr>
          <w:p w14:paraId="1A777A9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8FAA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868CF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0514C7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14:paraId="7AD40A36">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14:paraId="5D4017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39D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F69EBD4">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14:paraId="42D5E3B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391574A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D818CB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2EAAAD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16633D6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5A00FAA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883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A6675BB">
            <w:pPr>
              <w:widowControl/>
              <w:spacing w:line="280" w:lineRule="exact"/>
              <w:jc w:val="left"/>
              <w:rPr>
                <w:rFonts w:ascii="宋体" w:hAnsi="宋体" w:cs="宋体"/>
                <w:color w:val="auto"/>
                <w:kern w:val="0"/>
                <w:sz w:val="18"/>
                <w:szCs w:val="18"/>
                <w:highlight w:val="none"/>
              </w:rPr>
            </w:pPr>
          </w:p>
        </w:tc>
        <w:tc>
          <w:tcPr>
            <w:tcW w:w="1369" w:type="dxa"/>
            <w:vAlign w:val="center"/>
          </w:tcPr>
          <w:p w14:paraId="427DF1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207B1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7776B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183707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445B5E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14:paraId="0430C3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1CBE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9CAF6E3">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1E8496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830667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E3D63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3FED1C3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49E776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14:paraId="20D77D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2BA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F8F95DE">
            <w:pPr>
              <w:widowControl/>
              <w:spacing w:line="280" w:lineRule="exact"/>
              <w:jc w:val="left"/>
              <w:rPr>
                <w:rFonts w:ascii="宋体" w:hAnsi="宋体" w:cs="宋体"/>
                <w:color w:val="auto"/>
                <w:kern w:val="0"/>
                <w:sz w:val="18"/>
                <w:szCs w:val="18"/>
                <w:highlight w:val="none"/>
              </w:rPr>
            </w:pPr>
          </w:p>
        </w:tc>
        <w:tc>
          <w:tcPr>
            <w:tcW w:w="1369" w:type="dxa"/>
            <w:vAlign w:val="center"/>
          </w:tcPr>
          <w:p w14:paraId="6A5736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E4B24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34CEA3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6F10158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336A162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560C21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524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C337B4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06D767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0C5F8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ED846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4EF8F5D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4B58DA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228BD6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586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E6ED2EE">
            <w:pPr>
              <w:widowControl/>
              <w:spacing w:line="280" w:lineRule="exact"/>
              <w:jc w:val="left"/>
              <w:rPr>
                <w:rFonts w:ascii="宋体" w:hAnsi="宋体" w:cs="宋体"/>
                <w:color w:val="auto"/>
                <w:kern w:val="0"/>
                <w:sz w:val="18"/>
                <w:szCs w:val="18"/>
                <w:highlight w:val="none"/>
              </w:rPr>
            </w:pPr>
          </w:p>
        </w:tc>
        <w:tc>
          <w:tcPr>
            <w:tcW w:w="1369" w:type="dxa"/>
            <w:vAlign w:val="center"/>
          </w:tcPr>
          <w:p w14:paraId="0CBE19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B86FE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8B78F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307831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6DDB63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2A7B53B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0A4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F59CC0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4F6C13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9AB50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F3ED7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27471D81">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31E9E2B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4032BCF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D1F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A265D09">
            <w:pPr>
              <w:widowControl/>
              <w:spacing w:line="280" w:lineRule="exact"/>
              <w:jc w:val="left"/>
              <w:rPr>
                <w:rFonts w:ascii="宋体" w:hAnsi="宋体" w:cs="宋体"/>
                <w:color w:val="auto"/>
                <w:kern w:val="0"/>
                <w:sz w:val="18"/>
                <w:szCs w:val="18"/>
                <w:highlight w:val="none"/>
              </w:rPr>
            </w:pPr>
          </w:p>
        </w:tc>
        <w:tc>
          <w:tcPr>
            <w:tcW w:w="1369" w:type="dxa"/>
            <w:vAlign w:val="center"/>
          </w:tcPr>
          <w:p w14:paraId="69D75B6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2116D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1DDE1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69D275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7C5557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03DE2D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259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6B4BDA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31EF6D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F2888E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74447C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09C6115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0E58FD9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264D46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B2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D3BC75A">
            <w:pPr>
              <w:widowControl/>
              <w:spacing w:line="280" w:lineRule="exact"/>
              <w:jc w:val="left"/>
              <w:rPr>
                <w:rFonts w:ascii="宋体" w:hAnsi="宋体" w:cs="宋体"/>
                <w:color w:val="auto"/>
                <w:kern w:val="0"/>
                <w:sz w:val="18"/>
                <w:szCs w:val="18"/>
                <w:highlight w:val="none"/>
              </w:rPr>
            </w:pPr>
          </w:p>
        </w:tc>
        <w:tc>
          <w:tcPr>
            <w:tcW w:w="1369" w:type="dxa"/>
            <w:vAlign w:val="center"/>
          </w:tcPr>
          <w:p w14:paraId="400949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74BFA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0497C1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304C567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29D3A4B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777C24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381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E5ED514">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14:paraId="0BA242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02F08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A40047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08C80B6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198125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4299E8E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0C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C9724A2">
            <w:pPr>
              <w:widowControl/>
              <w:spacing w:line="280" w:lineRule="exact"/>
              <w:jc w:val="left"/>
              <w:rPr>
                <w:rFonts w:ascii="宋体" w:hAnsi="宋体" w:cs="宋体"/>
                <w:color w:val="auto"/>
                <w:kern w:val="0"/>
                <w:sz w:val="18"/>
                <w:szCs w:val="18"/>
                <w:highlight w:val="none"/>
              </w:rPr>
            </w:pPr>
          </w:p>
        </w:tc>
        <w:tc>
          <w:tcPr>
            <w:tcW w:w="1369" w:type="dxa"/>
            <w:vAlign w:val="center"/>
          </w:tcPr>
          <w:p w14:paraId="39B8285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F59848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A13DED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5A7908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14:paraId="572DD1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4F4AB0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FE4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907A888">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658850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60A2D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E4329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2E27773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014EF71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3BBE614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AFE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DA025F0">
            <w:pPr>
              <w:widowControl/>
              <w:spacing w:line="280" w:lineRule="exact"/>
              <w:jc w:val="left"/>
              <w:rPr>
                <w:rFonts w:ascii="宋体" w:hAnsi="宋体" w:cs="宋体"/>
                <w:color w:val="auto"/>
                <w:spacing w:val="-12"/>
                <w:kern w:val="0"/>
                <w:sz w:val="18"/>
                <w:szCs w:val="18"/>
                <w:highlight w:val="none"/>
              </w:rPr>
            </w:pPr>
          </w:p>
        </w:tc>
        <w:tc>
          <w:tcPr>
            <w:tcW w:w="1369" w:type="dxa"/>
            <w:vAlign w:val="center"/>
          </w:tcPr>
          <w:p w14:paraId="495D092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DFB5B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CE9CF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7A43470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31A163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14:paraId="783E15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E88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78CF8B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11E2AC1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D676D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7A9A79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1D3CEC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14:paraId="7BA249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09A6210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FBF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FF35699">
            <w:pPr>
              <w:widowControl/>
              <w:spacing w:line="280" w:lineRule="exact"/>
              <w:jc w:val="left"/>
              <w:rPr>
                <w:rFonts w:ascii="宋体" w:hAnsi="宋体" w:cs="宋体"/>
                <w:color w:val="auto"/>
                <w:kern w:val="0"/>
                <w:sz w:val="18"/>
                <w:szCs w:val="18"/>
                <w:highlight w:val="none"/>
              </w:rPr>
            </w:pPr>
          </w:p>
        </w:tc>
        <w:tc>
          <w:tcPr>
            <w:tcW w:w="1369" w:type="dxa"/>
            <w:vAlign w:val="center"/>
          </w:tcPr>
          <w:p w14:paraId="14F54A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5251E88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DAFD76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27B7F0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7A9DD9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14:paraId="3A0DFEB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1BA5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EF4D23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560050F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3910ED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A372D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429F838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27B2D1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14:paraId="12DD195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639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AE57247">
            <w:pPr>
              <w:widowControl/>
              <w:spacing w:line="280" w:lineRule="exact"/>
              <w:jc w:val="left"/>
              <w:rPr>
                <w:rFonts w:ascii="宋体" w:hAnsi="宋体" w:cs="宋体"/>
                <w:color w:val="auto"/>
                <w:kern w:val="0"/>
                <w:sz w:val="18"/>
                <w:szCs w:val="18"/>
                <w:highlight w:val="none"/>
              </w:rPr>
            </w:pPr>
          </w:p>
        </w:tc>
        <w:tc>
          <w:tcPr>
            <w:tcW w:w="1369" w:type="dxa"/>
            <w:vAlign w:val="center"/>
          </w:tcPr>
          <w:p w14:paraId="2BD6898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AADF9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1D5221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6EBC68D7">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14:paraId="181E161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14:paraId="49F68E7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6C5C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CA8D77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0DC4D4D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F39C7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A13ED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4809D7C9">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774C638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3356BD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B85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4BB5531">
            <w:pPr>
              <w:widowControl/>
              <w:spacing w:line="280" w:lineRule="exact"/>
              <w:jc w:val="left"/>
              <w:rPr>
                <w:rFonts w:ascii="宋体" w:hAnsi="宋体" w:cs="宋体"/>
                <w:color w:val="auto"/>
                <w:kern w:val="0"/>
                <w:sz w:val="18"/>
                <w:szCs w:val="18"/>
                <w:highlight w:val="none"/>
              </w:rPr>
            </w:pPr>
          </w:p>
        </w:tc>
        <w:tc>
          <w:tcPr>
            <w:tcW w:w="1369" w:type="dxa"/>
            <w:vAlign w:val="center"/>
          </w:tcPr>
          <w:p w14:paraId="40654E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1145569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DFE091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08FA01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14:paraId="3C80011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14:paraId="7BA2492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7C9F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659C50B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14:paraId="5B34B67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129D48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89A945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42A43A97">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5219067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77410C2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bookmarkEnd w:id="60"/>
    </w:tbl>
    <w:p w14:paraId="6459753E">
      <w:pPr>
        <w:widowControl/>
        <w:shd w:val="clear" w:color="auto" w:fill="FFFFFF" w:themeFill="background1"/>
        <w:spacing w:line="280" w:lineRule="exact"/>
        <w:rPr>
          <w:rFonts w:ascii="宋体" w:hAnsi="宋体" w:cs="宋体"/>
          <w:color w:val="auto"/>
          <w:spacing w:val="8"/>
          <w:kern w:val="0"/>
          <w:sz w:val="24"/>
          <w:highlight w:val="none"/>
        </w:rPr>
      </w:pPr>
    </w:p>
    <w:p w14:paraId="5853F5ED">
      <w:pPr>
        <w:widowControl/>
        <w:shd w:val="clear" w:color="auto" w:fill="FFFFFF" w:themeFill="background1"/>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376841C7">
      <w:pPr>
        <w:pStyle w:val="13"/>
        <w:shd w:val="clear" w:color="auto" w:fill="FFFFFF" w:themeFill="background1"/>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20DE9B9A">
      <w:pPr>
        <w:pStyle w:val="13"/>
        <w:shd w:val="clear" w:color="auto" w:fill="FFFFFF" w:themeFill="background1"/>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E36D079">
      <w:pPr>
        <w:pStyle w:val="13"/>
        <w:shd w:val="clear" w:color="auto" w:fill="FFFFFF" w:themeFill="background1"/>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12BEB87">
      <w:pPr>
        <w:shd w:val="clear" w:color="auto" w:fill="FFFFFF" w:themeFill="background1"/>
        <w:jc w:val="center"/>
        <w:outlineLvl w:val="0"/>
        <w:rPr>
          <w:rFonts w:ascii="宋体" w:hAnsi="宋体" w:cs="宋体"/>
          <w:b/>
          <w:color w:val="auto"/>
          <w:sz w:val="36"/>
          <w:highlight w:val="none"/>
        </w:rPr>
      </w:pPr>
      <w:bookmarkStart w:id="61" w:name="_Toc3325"/>
      <w:bookmarkStart w:id="62" w:name="_Toc9063"/>
      <w:bookmarkStart w:id="63" w:name="_Toc8975"/>
      <w:bookmarkStart w:id="64" w:name="_Toc29172"/>
      <w:bookmarkStart w:id="65" w:name="_Toc496"/>
      <w:bookmarkStart w:id="66" w:name="_Toc6362"/>
      <w:bookmarkStart w:id="67" w:name="_Toc28587"/>
      <w:bookmarkStart w:id="68" w:name="_Toc532545044"/>
      <w:bookmarkStart w:id="69" w:name="_Toc26039"/>
      <w:bookmarkStart w:id="70" w:name="_Toc24489"/>
      <w:r>
        <w:rPr>
          <w:rFonts w:hint="eastAsia" w:ascii="宋体" w:hAnsi="宋体" w:cs="宋体"/>
          <w:b/>
          <w:color w:val="auto"/>
          <w:sz w:val="36"/>
          <w:highlight w:val="none"/>
        </w:rPr>
        <w:br w:type="page"/>
      </w:r>
    </w:p>
    <w:p w14:paraId="2DA1D0D4">
      <w:pPr>
        <w:pStyle w:val="13"/>
        <w:shd w:val="clear" w:color="auto" w:fill="FFFFFF" w:themeFill="background1"/>
        <w:jc w:val="center"/>
        <w:outlineLvl w:val="0"/>
        <w:rPr>
          <w:rFonts w:hAnsi="宋体" w:cs="宋体"/>
          <w:b/>
          <w:color w:val="auto"/>
          <w:sz w:val="36"/>
          <w:szCs w:val="36"/>
          <w:highlight w:val="none"/>
        </w:rPr>
      </w:pPr>
      <w:bookmarkStart w:id="71" w:name="_Toc20085"/>
      <w:bookmarkStart w:id="72" w:name="_Toc15364"/>
      <w:bookmarkStart w:id="73" w:name="_Toc26044"/>
      <w:bookmarkStart w:id="74" w:name="_Toc20953"/>
      <w:r>
        <w:rPr>
          <w:rFonts w:hint="eastAsia" w:hAnsi="宋体" w:cs="宋体"/>
          <w:b/>
          <w:color w:val="auto"/>
          <w:sz w:val="36"/>
          <w:highlight w:val="none"/>
        </w:rPr>
        <w:t>第三章  投标人须知</w:t>
      </w:r>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F034CC1">
      <w:pPr>
        <w:pStyle w:val="13"/>
        <w:shd w:val="clear" w:color="auto" w:fill="FFFFFF" w:themeFill="background1"/>
        <w:jc w:val="center"/>
        <w:outlineLvl w:val="1"/>
        <w:rPr>
          <w:rFonts w:hAnsi="宋体" w:cs="宋体"/>
          <w:b/>
          <w:color w:val="auto"/>
          <w:sz w:val="30"/>
          <w:szCs w:val="30"/>
          <w:highlight w:val="none"/>
        </w:rPr>
      </w:pPr>
      <w:bookmarkStart w:id="75" w:name="_Toc1597"/>
      <w:bookmarkStart w:id="76" w:name="_Toc16388"/>
      <w:bookmarkStart w:id="77" w:name="_Toc24714"/>
      <w:bookmarkStart w:id="78" w:name="_Toc29813"/>
      <w:bookmarkStart w:id="79" w:name="_Toc29809"/>
      <w:bookmarkStart w:id="80" w:name="_Toc11515"/>
      <w:bookmarkStart w:id="81" w:name="_Toc4562"/>
      <w:bookmarkStart w:id="82" w:name="_Toc10039"/>
      <w:bookmarkStart w:id="83" w:name="_Toc32208"/>
      <w:bookmarkStart w:id="84" w:name="_Toc8769"/>
      <w:r>
        <w:rPr>
          <w:rFonts w:hint="eastAsia" w:hAnsi="宋体" w:cs="宋体"/>
          <w:b/>
          <w:color w:val="auto"/>
          <w:sz w:val="30"/>
          <w:szCs w:val="30"/>
          <w:highlight w:val="none"/>
        </w:rPr>
        <w:t>第一节 投标人须知前附表</w:t>
      </w:r>
      <w:bookmarkEnd w:id="75"/>
      <w:bookmarkEnd w:id="76"/>
      <w:bookmarkEnd w:id="77"/>
      <w:bookmarkEnd w:id="78"/>
      <w:bookmarkEnd w:id="79"/>
      <w:bookmarkEnd w:id="80"/>
      <w:bookmarkEnd w:id="81"/>
      <w:bookmarkEnd w:id="82"/>
      <w:bookmarkEnd w:id="83"/>
      <w:bookmarkEnd w:id="84"/>
    </w:p>
    <w:tbl>
      <w:tblPr>
        <w:tblStyle w:val="23"/>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40C75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09FD9C">
            <w:pPr>
              <w:shd w:val="clear" w:color="auto" w:fill="FFFFFF" w:themeFill="background1"/>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1FCFF57A">
            <w:pPr>
              <w:shd w:val="clear" w:color="auto" w:fill="FFFFFF" w:themeFill="background1"/>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150D40BE">
            <w:pPr>
              <w:shd w:val="clear" w:color="auto" w:fill="FFFFFF" w:themeFill="background1"/>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57964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00DFB2B">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3</w:t>
            </w:r>
          </w:p>
        </w:tc>
        <w:tc>
          <w:tcPr>
            <w:tcW w:w="2268" w:type="dxa"/>
            <w:tcBorders>
              <w:top w:val="single" w:color="auto" w:sz="4" w:space="0"/>
              <w:left w:val="single" w:color="auto" w:sz="4" w:space="0"/>
              <w:bottom w:val="single" w:color="auto" w:sz="4" w:space="0"/>
              <w:right w:val="single" w:color="auto" w:sz="4" w:space="0"/>
            </w:tcBorders>
            <w:vAlign w:val="center"/>
          </w:tcPr>
          <w:p w14:paraId="5F2AF6BD">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vAlign w:val="center"/>
          </w:tcPr>
          <w:p w14:paraId="0BFF146F">
            <w:pPr>
              <w:pStyle w:val="9"/>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38422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E1B7B5E">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3055F2CD">
            <w:pPr>
              <w:shd w:val="clear" w:color="auto" w:fill="FFFFFF" w:themeFill="background1"/>
              <w:spacing w:line="380" w:lineRule="exact"/>
              <w:rPr>
                <w:rFonts w:ascii="宋体" w:hAnsi="宋体" w:cs="宋体"/>
                <w:color w:val="auto"/>
                <w:szCs w:val="21"/>
                <w:highlight w:val="none"/>
              </w:rPr>
            </w:pPr>
            <w:bookmarkStart w:id="85" w:name="_8.1"/>
            <w:bookmarkEnd w:id="85"/>
            <w:bookmarkStart w:id="86" w:name="_5"/>
            <w:bookmarkEnd w:id="86"/>
            <w:bookmarkStart w:id="87" w:name="_9.2"/>
            <w:bookmarkEnd w:id="87"/>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51BB88B4">
            <w:pPr>
              <w:pStyle w:val="9"/>
              <w:shd w:val="clear" w:color="auto" w:fill="FFFFFF" w:themeFill="background1"/>
              <w:spacing w:line="380" w:lineRule="exact"/>
              <w:rPr>
                <w:rFonts w:ascii="宋体" w:hAnsi="宋体" w:cs="宋体"/>
                <w:color w:val="auto"/>
                <w:szCs w:val="21"/>
                <w:highlight w:val="none"/>
              </w:rPr>
            </w:pPr>
            <w:bookmarkStart w:id="88" w:name="PO_3000001866_PM007"/>
            <w:r>
              <w:rPr>
                <w:rFonts w:hint="eastAsia" w:ascii="宋体" w:hAnsi="宋体" w:cs="宋体"/>
                <w:color w:val="auto"/>
                <w:szCs w:val="21"/>
                <w:highlight w:val="none"/>
              </w:rPr>
              <w:t>详见招标公告。</w:t>
            </w:r>
            <w:bookmarkEnd w:id="88"/>
          </w:p>
        </w:tc>
      </w:tr>
      <w:tr w14:paraId="4EDE5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9DA08CB">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532038AD">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5C81462B">
            <w:pPr>
              <w:pStyle w:val="9"/>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无。</w:t>
            </w:r>
          </w:p>
        </w:tc>
      </w:tr>
      <w:tr w14:paraId="1891A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25931D6">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28704A55">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3B23BA77">
            <w:pPr>
              <w:pStyle w:val="9"/>
              <w:shd w:val="clear" w:color="auto" w:fill="FFFFFF" w:themeFill="background1"/>
              <w:spacing w:line="380" w:lineRule="exact"/>
              <w:rPr>
                <w:rFonts w:ascii="宋体" w:hAnsi="宋体" w:cs="宋体"/>
                <w:color w:val="auto"/>
                <w:szCs w:val="21"/>
                <w:highlight w:val="none"/>
              </w:rPr>
            </w:pPr>
            <w:bookmarkStart w:id="89" w:name="PO_3000001866_PM044"/>
            <w:r>
              <w:rPr>
                <w:rFonts w:hint="eastAsia" w:ascii="宋体" w:hAnsi="宋体" w:cs="宋体"/>
                <w:color w:val="auto"/>
                <w:szCs w:val="21"/>
                <w:highlight w:val="none"/>
              </w:rPr>
              <w:t>☑ 不允许分包</w:t>
            </w:r>
            <w:bookmarkEnd w:id="89"/>
          </w:p>
          <w:p w14:paraId="40D1DA25">
            <w:pPr>
              <w:pStyle w:val="9"/>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w:t>
            </w:r>
          </w:p>
          <w:p w14:paraId="19B802D9">
            <w:pPr>
              <w:pStyle w:val="9"/>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w:t>
            </w:r>
          </w:p>
        </w:tc>
      </w:tr>
      <w:tr w14:paraId="21126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DBD478A">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14223169">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58DBC780">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与本项目相关的政府采购业务澄清、更正及与之相关的事项将在招标公告中“六、其他补充事宜”中网上查询地址上发布</w:t>
            </w:r>
            <w:r>
              <w:rPr>
                <w:rFonts w:hint="eastAsia" w:ascii="宋体" w:hAnsi="宋体" w:cs="宋体"/>
                <w:color w:val="auto"/>
                <w:kern w:val="0"/>
                <w:szCs w:val="21"/>
                <w:highlight w:val="none"/>
              </w:rPr>
              <w:t>。</w:t>
            </w:r>
          </w:p>
        </w:tc>
      </w:tr>
      <w:tr w14:paraId="4D90F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407D5CD">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11.5</w:t>
            </w:r>
          </w:p>
        </w:tc>
        <w:tc>
          <w:tcPr>
            <w:tcW w:w="2268" w:type="dxa"/>
            <w:tcBorders>
              <w:top w:val="single" w:color="auto" w:sz="4" w:space="0"/>
              <w:left w:val="single" w:color="auto" w:sz="4" w:space="0"/>
              <w:bottom w:val="single" w:color="auto" w:sz="4" w:space="0"/>
              <w:right w:val="single" w:color="auto" w:sz="4" w:space="0"/>
            </w:tcBorders>
            <w:vAlign w:val="center"/>
          </w:tcPr>
          <w:p w14:paraId="1BA29033">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2B0DE8C6">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不组织召开开标前答疑会</w:t>
            </w:r>
          </w:p>
          <w:p w14:paraId="3325E0FD">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730D0A00">
            <w:pPr>
              <w:shd w:val="clear" w:color="auto" w:fill="FFFFFF" w:themeFill="background1"/>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分，逾期后果自负。会议地点：</w:t>
            </w:r>
            <w:r>
              <w:rPr>
                <w:rFonts w:hint="eastAsia" w:ascii="宋体" w:hAnsi="宋体" w:cs="宋体"/>
                <w:color w:val="auto"/>
                <w:szCs w:val="21"/>
                <w:highlight w:val="none"/>
                <w:u w:val="single"/>
              </w:rPr>
              <w:t xml:space="preserve">              </w:t>
            </w:r>
          </w:p>
        </w:tc>
      </w:tr>
      <w:tr w14:paraId="5B2C8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vAlign w:val="center"/>
          </w:tcPr>
          <w:p w14:paraId="4D3EB562">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2E2C69D2">
            <w:pPr>
              <w:shd w:val="clear" w:color="auto" w:fill="FFFFFF" w:themeFill="background1"/>
              <w:snapToGrid w:val="0"/>
              <w:spacing w:line="380" w:lineRule="exact"/>
              <w:jc w:val="left"/>
              <w:rPr>
                <w:rFonts w:ascii="宋体" w:hAnsi="宋体" w:cs="宋体"/>
                <w:color w:val="auto"/>
                <w:szCs w:val="21"/>
                <w:highlight w:val="none"/>
              </w:rPr>
            </w:pPr>
            <w:bookmarkStart w:id="90" w:name="_13.2"/>
            <w:bookmarkEnd w:id="90"/>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680A93CE">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1、投标人为法人或者其他组织的，提供营业执照等证明文件复印件（如营业执照或者事业单位法人证书或者</w:t>
            </w:r>
            <w:r>
              <w:rPr>
                <w:rStyle w:val="35"/>
                <w:rFonts w:hint="eastAsia"/>
                <w:color w:val="auto"/>
                <w:sz w:val="21"/>
                <w:szCs w:val="21"/>
                <w:highlight w:val="none"/>
              </w:rPr>
              <w:t>执业许可证</w:t>
            </w:r>
            <w:r>
              <w:rPr>
                <w:rFonts w:hint="eastAsia" w:ascii="宋体" w:hAnsi="宋体" w:cs="宋体"/>
                <w:color w:val="auto"/>
                <w:szCs w:val="21"/>
                <w:highlight w:val="none"/>
              </w:rPr>
              <w:t>等），投标人为自然人的，提供有效身份证正反面复印件。（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61C368E">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2、投标人依法缴纳税收的相关材料（提供税款所属时期为2024年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月至投标文件提交截止时间止的任意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A1BEB60">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3、投标人依法缴纳社会保障资金的相关材料（提供税款所属时期或缴费起始时间为2024年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至投标文件提交截止时间止的任意1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6CDF0A9">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4、投标人财务状况报告（提供2023年度经审计的财务报告复印件或者截标时间前半年内至少一个月能反映财务状况的报表或者投标人自拟的截标时间前半年内至少一个月的财务情况说明）。（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7B08778">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5、本项目的特定资格要求：无。（</w:t>
            </w:r>
            <w:r>
              <w:rPr>
                <w:rFonts w:hint="eastAsia" w:ascii="宋体" w:hAnsi="宋体" w:cs="宋体"/>
                <w:b/>
                <w:bCs/>
                <w:color w:val="auto"/>
                <w:szCs w:val="21"/>
                <w:highlight w:val="none"/>
              </w:rPr>
              <w:t>如有，则</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24F41FB">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6、声明函（格式后附）。（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96A1F57">
            <w:pPr>
              <w:shd w:val="clear" w:color="auto" w:fill="FFFFFF" w:themeFill="background1"/>
              <w:snapToGrid w:val="0"/>
              <w:spacing w:line="380" w:lineRule="exact"/>
              <w:jc w:val="left"/>
              <w:rPr>
                <w:rFonts w:ascii="宋体" w:hAnsi="宋体" w:cs="宋体"/>
                <w:b/>
                <w:bCs/>
                <w:color w:val="auto"/>
                <w:szCs w:val="21"/>
                <w:highlight w:val="none"/>
              </w:rPr>
            </w:pPr>
            <w:r>
              <w:rPr>
                <w:rFonts w:hint="eastAsia" w:ascii="宋体" w:hAnsi="宋体" w:cs="宋体"/>
                <w:color w:val="auto"/>
                <w:szCs w:val="21"/>
                <w:highlight w:val="none"/>
              </w:rPr>
              <w:t>7、联合体投标协议书（格式后附）。</w:t>
            </w:r>
            <w:r>
              <w:rPr>
                <w:rFonts w:hint="eastAsia" w:ascii="宋体" w:hAnsi="宋体" w:cs="宋体"/>
                <w:b/>
                <w:bCs/>
                <w:color w:val="auto"/>
                <w:szCs w:val="21"/>
                <w:highlight w:val="none"/>
              </w:rPr>
              <w:t>（联合体投标时必须提供，否则作无效投标处理）</w:t>
            </w:r>
          </w:p>
          <w:p w14:paraId="66E03422">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8、除招标文件规定必须提供以外，投标人认为需要提供的其他证明材料（格式自拟）。（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54E10D3C">
            <w:pPr>
              <w:shd w:val="clear" w:color="auto" w:fill="FFFFFF" w:themeFill="background1"/>
              <w:snapToGrid w:val="0"/>
              <w:spacing w:line="380" w:lineRule="exact"/>
              <w:jc w:val="left"/>
              <w:rPr>
                <w:rFonts w:ascii="宋体" w:hAnsi="宋体" w:cs="宋体"/>
                <w:b/>
                <w:color w:val="auto"/>
                <w:szCs w:val="21"/>
                <w:highlight w:val="none"/>
              </w:rPr>
            </w:pPr>
            <w:r>
              <w:rPr>
                <w:rFonts w:hint="eastAsia" w:ascii="宋体" w:hAnsi="宋体" w:cs="宋体"/>
                <w:b/>
                <w:bCs/>
                <w:color w:val="auto"/>
                <w:szCs w:val="21"/>
                <w:highlight w:val="none"/>
              </w:rPr>
              <w:t>注：1、以上标明“必须提供”的材料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p>
          <w:p w14:paraId="7B467E65">
            <w:pPr>
              <w:shd w:val="clear" w:color="auto" w:fill="FFFFFF" w:themeFill="background1"/>
              <w:snapToGrid w:val="0"/>
              <w:spacing w:line="380" w:lineRule="exact"/>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、联合体投标时，第1-5项资格证明文件联合体各方均必须分别提供，联合体各方分别盖章，否则投标文件作无效投标处理。</w:t>
            </w:r>
          </w:p>
        </w:tc>
      </w:tr>
      <w:tr w14:paraId="56EAA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vAlign w:val="center"/>
          </w:tcPr>
          <w:p w14:paraId="147C25C7">
            <w:pPr>
              <w:shd w:val="clear" w:color="auto" w:fill="FFFFFF" w:themeFill="background1"/>
              <w:spacing w:line="380" w:lineRule="exac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D6979A5">
            <w:pPr>
              <w:shd w:val="clear" w:color="auto" w:fill="FFFFFF" w:themeFill="background1"/>
              <w:snapToGrid w:val="0"/>
              <w:spacing w:line="380" w:lineRule="exact"/>
              <w:jc w:val="left"/>
              <w:rPr>
                <w:rFonts w:ascii="宋体" w:hAnsi="宋体" w:cs="宋体"/>
                <w:color w:val="auto"/>
                <w:szCs w:val="21"/>
                <w:highlight w:val="none"/>
              </w:rPr>
            </w:pPr>
            <w:bookmarkStart w:id="91" w:name="_13.3"/>
            <w:bookmarkEnd w:id="91"/>
            <w:r>
              <w:rPr>
                <w:rFonts w:hint="eastAsia" w:ascii="宋体" w:hAnsi="宋体" w:cs="宋体"/>
                <w:color w:val="auto"/>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47617FBC">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7FA3C24">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1B57322">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386BC197">
            <w:pPr>
              <w:shd w:val="clear" w:color="auto" w:fill="FFFFFF" w:themeFill="background1"/>
              <w:snapToGrid w:val="0"/>
              <w:spacing w:line="380" w:lineRule="exact"/>
              <w:jc w:val="left"/>
              <w:rPr>
                <w:rFonts w:ascii="宋体" w:hAnsi="宋体" w:cs="宋体"/>
                <w:b/>
                <w:bCs/>
                <w:color w:val="auto"/>
                <w:szCs w:val="21"/>
                <w:highlight w:val="none"/>
              </w:rPr>
            </w:pPr>
            <w:r>
              <w:rPr>
                <w:rFonts w:hint="eastAsia" w:ascii="宋体" w:hAnsi="宋体" w:cs="宋体"/>
                <w:color w:val="auto"/>
                <w:szCs w:val="21"/>
                <w:highlight w:val="none"/>
              </w:rPr>
              <w:t>4、投标保证金提交凭证；</w:t>
            </w:r>
            <w:r>
              <w:rPr>
                <w:rFonts w:hint="eastAsia" w:ascii="宋体" w:hAnsi="宋体" w:cs="宋体"/>
                <w:b/>
                <w:bCs/>
                <w:color w:val="auto"/>
                <w:szCs w:val="21"/>
                <w:highlight w:val="none"/>
              </w:rPr>
              <w:t>（必须提供，否则作无效投标处理）</w:t>
            </w:r>
          </w:p>
          <w:p w14:paraId="6F44A847">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5、商务条款偏离表（格式后附）；（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211EE7F">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6、投标人情况介绍（格式自拟）；（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6D30E8C5">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7、除招标文件规定必须提供以外，投标人认为需要提供的其他证明材料（格式自拟）。（投标人根据“第二章 采购需求”及“第四章 评标方法和评标标准”提供有关证明材料）。（</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5C61D8E6">
            <w:pPr>
              <w:shd w:val="clear" w:color="auto" w:fill="FFFFFF" w:themeFill="background1"/>
              <w:snapToGrid w:val="0"/>
              <w:spacing w:line="380" w:lineRule="exact"/>
              <w:jc w:val="left"/>
              <w:rPr>
                <w:rFonts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注：1、法定代表人授权委托书必须由法定代表人及委托代理人签字，并加盖投标人公章，否则作无效投标处理。</w:t>
            </w:r>
          </w:p>
          <w:p w14:paraId="0155AC85">
            <w:pPr>
              <w:shd w:val="clear" w:color="auto" w:fill="FFFFFF" w:themeFill="background1"/>
              <w:snapToGrid w:val="0"/>
              <w:spacing w:line="38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5C813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vAlign w:val="center"/>
          </w:tcPr>
          <w:p w14:paraId="70072FCB">
            <w:pPr>
              <w:shd w:val="clear" w:color="auto" w:fill="FFFFFF" w:themeFill="background1"/>
              <w:spacing w:line="380" w:lineRule="exac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68683F6">
            <w:pPr>
              <w:shd w:val="clear" w:color="auto" w:fill="FFFFFF" w:themeFill="background1"/>
              <w:snapToGrid w:val="0"/>
              <w:spacing w:line="380" w:lineRule="exact"/>
              <w:jc w:val="left"/>
              <w:rPr>
                <w:rFonts w:ascii="宋体" w:hAnsi="宋体" w:cs="宋体"/>
                <w:color w:val="auto"/>
                <w:szCs w:val="21"/>
                <w:highlight w:val="none"/>
              </w:rPr>
            </w:pPr>
            <w:bookmarkStart w:id="92" w:name="_13.4"/>
            <w:bookmarkEnd w:id="92"/>
            <w:r>
              <w:rPr>
                <w:rFonts w:hint="eastAsia" w:ascii="宋体" w:hAnsi="宋体" w:cs="宋体"/>
                <w:color w:val="auto"/>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1775E60F">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1、服务要求偏离表（格式后附）；（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BB5CD50">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2、服务方案（格式自拟）；（</w:t>
            </w:r>
            <w:r>
              <w:rPr>
                <w:rFonts w:hint="eastAsia" w:ascii="宋体" w:hAnsi="宋体" w:cs="宋体"/>
                <w:b/>
                <w:bCs/>
                <w:color w:val="auto"/>
                <w:szCs w:val="21"/>
                <w:highlight w:val="none"/>
              </w:rPr>
              <w:t>必须提供，否则按无效投标处理</w:t>
            </w:r>
            <w:r>
              <w:rPr>
                <w:rFonts w:hint="eastAsia" w:ascii="宋体" w:hAnsi="宋体" w:cs="宋体"/>
                <w:color w:val="auto"/>
                <w:szCs w:val="21"/>
                <w:highlight w:val="none"/>
              </w:rPr>
              <w:t>）</w:t>
            </w:r>
          </w:p>
          <w:p w14:paraId="1591E7D9">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3、项目实施人员一览表（格式</w:t>
            </w:r>
            <w:r>
              <w:rPr>
                <w:rFonts w:hint="eastAsia"/>
                <w:color w:val="auto"/>
                <w:szCs w:val="21"/>
                <w:highlight w:val="none"/>
              </w:rPr>
              <w:t>后附</w:t>
            </w:r>
            <w:r>
              <w:rPr>
                <w:rFonts w:hint="eastAsia" w:ascii="宋体" w:hAnsi="宋体" w:cs="宋体"/>
                <w:color w:val="auto"/>
                <w:szCs w:val="21"/>
                <w:highlight w:val="none"/>
              </w:rPr>
              <w:t>）；（</w:t>
            </w:r>
            <w:r>
              <w:rPr>
                <w:rFonts w:hint="eastAsia" w:ascii="宋体" w:hAnsi="宋体" w:cs="宋体"/>
                <w:b/>
                <w:bCs/>
                <w:color w:val="auto"/>
                <w:szCs w:val="21"/>
                <w:highlight w:val="none"/>
              </w:rPr>
              <w:t>必须提供，否则按无效投标处理</w:t>
            </w:r>
            <w:r>
              <w:rPr>
                <w:rFonts w:hint="eastAsia" w:ascii="宋体" w:hAnsi="宋体" w:cs="宋体"/>
                <w:color w:val="auto"/>
                <w:szCs w:val="21"/>
                <w:highlight w:val="none"/>
              </w:rPr>
              <w:t>）</w:t>
            </w:r>
          </w:p>
          <w:p w14:paraId="43BBFD7B">
            <w:pPr>
              <w:shd w:val="clear" w:color="auto" w:fill="FFFFFF" w:themeFill="background1"/>
              <w:snapToGrid w:val="0"/>
              <w:spacing w:line="380" w:lineRule="exact"/>
              <w:jc w:val="left"/>
              <w:rPr>
                <w:rFonts w:ascii="宋体" w:hAnsi="宋体" w:cs="宋体"/>
                <w:bCs/>
                <w:color w:val="auto"/>
                <w:szCs w:val="21"/>
                <w:highlight w:val="none"/>
              </w:rPr>
            </w:pPr>
            <w:r>
              <w:rPr>
                <w:rFonts w:hint="eastAsia" w:ascii="宋体" w:hAnsi="宋体" w:cs="宋体"/>
                <w:color w:val="auto"/>
                <w:szCs w:val="21"/>
                <w:highlight w:val="none"/>
              </w:rPr>
              <w:t>4、除招标文件规定必须提供以外，投标人需要说明的其他文件和说明（格式自拟）。</w:t>
            </w:r>
            <w:r>
              <w:rPr>
                <w:rFonts w:hint="eastAsia" w:ascii="宋体" w:hAnsi="宋体"/>
                <w:color w:val="auto"/>
                <w:szCs w:val="21"/>
                <w:highlight w:val="none"/>
              </w:rPr>
              <w:t>（</w:t>
            </w:r>
            <w:r>
              <w:rPr>
                <w:rFonts w:hint="eastAsia" w:ascii="宋体" w:hAnsi="宋体"/>
                <w:b/>
                <w:bCs/>
                <w:color w:val="auto"/>
                <w:szCs w:val="21"/>
                <w:highlight w:val="none"/>
              </w:rPr>
              <w:t>如有，请提供</w:t>
            </w:r>
            <w:r>
              <w:rPr>
                <w:rFonts w:hint="eastAsia" w:ascii="宋体" w:hAnsi="宋体"/>
                <w:color w:val="auto"/>
                <w:szCs w:val="21"/>
                <w:highlight w:val="none"/>
              </w:rPr>
              <w:t>）</w:t>
            </w:r>
          </w:p>
          <w:p w14:paraId="7245EDBD">
            <w:pPr>
              <w:shd w:val="clear" w:color="auto" w:fill="FFFFFF" w:themeFill="background1"/>
              <w:snapToGrid w:val="0"/>
              <w:spacing w:line="38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4231C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vAlign w:val="center"/>
          </w:tcPr>
          <w:p w14:paraId="7BC78E6F">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74095DB">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4761BC5D">
            <w:pPr>
              <w:shd w:val="clear" w:color="auto" w:fill="FFFFFF" w:themeFill="background1"/>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bCs/>
                <w:color w:val="auto"/>
                <w:szCs w:val="21"/>
                <w:highlight w:val="none"/>
              </w:rPr>
              <w:t>）</w:t>
            </w:r>
          </w:p>
          <w:p w14:paraId="68905462">
            <w:pPr>
              <w:shd w:val="clear" w:color="auto" w:fill="FFFFFF" w:themeFill="background1"/>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2、开标一览表（格式后附）；（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DB042F3">
            <w:pPr>
              <w:shd w:val="clear" w:color="auto" w:fill="FFFFFF" w:themeFill="background1"/>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62B3B291">
            <w:pPr>
              <w:shd w:val="clear" w:color="auto" w:fill="FFFFFF" w:themeFill="background1"/>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4、投标人针对报价需要说明的其他文件和说明（格式自拟）。（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tc>
      </w:tr>
      <w:tr w14:paraId="7D89A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B7A360E">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582A53B8">
            <w:pPr>
              <w:shd w:val="clear" w:color="auto" w:fill="FFFFFF" w:themeFill="background1"/>
              <w:spacing w:line="380" w:lineRule="exact"/>
              <w:rPr>
                <w:rFonts w:ascii="宋体" w:hAnsi="宋体" w:cs="宋体"/>
                <w:color w:val="auto"/>
                <w:szCs w:val="21"/>
                <w:highlight w:val="none"/>
              </w:rPr>
            </w:pPr>
            <w:bookmarkStart w:id="93" w:name="_16.2"/>
            <w:bookmarkEnd w:id="93"/>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7384A5CC">
            <w:pPr>
              <w:shd w:val="clear" w:color="auto" w:fill="FFFFFF" w:themeFill="background1"/>
              <w:snapToGrid w:val="0"/>
              <w:spacing w:line="380" w:lineRule="exact"/>
              <w:rPr>
                <w:rFonts w:ascii="宋体" w:hAnsi="宋体" w:cs="宋体"/>
                <w:color w:val="auto"/>
                <w:highlight w:val="none"/>
              </w:rPr>
            </w:pPr>
            <w:r>
              <w:rPr>
                <w:rFonts w:hint="eastAsia" w:ascii="宋体" w:hAnsi="宋体" w:cs="宋体"/>
                <w:color w:val="auto"/>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p w14:paraId="132824D4">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 投标报价包含验收费用</w:t>
            </w:r>
          </w:p>
          <w:p w14:paraId="403078BC">
            <w:pPr>
              <w:shd w:val="clear" w:color="auto" w:fill="FFFFFF" w:themeFill="background1"/>
              <w:snapToGrid w:val="0"/>
              <w:spacing w:line="380" w:lineRule="exact"/>
              <w:rPr>
                <w:rFonts w:ascii="宋体" w:hAnsi="宋体" w:cs="宋体"/>
                <w:color w:val="auto"/>
                <w:highlight w:val="none"/>
              </w:rPr>
            </w:pPr>
            <w:r>
              <w:rPr>
                <w:rFonts w:hint="eastAsia" w:ascii="宋体" w:hAnsi="宋体" w:cs="宋体"/>
                <w:b/>
                <w:color w:val="auto"/>
                <w:szCs w:val="21"/>
                <w:highlight w:val="none"/>
              </w:rPr>
              <w:t>□投标报价不包含验收费用</w:t>
            </w:r>
          </w:p>
        </w:tc>
      </w:tr>
      <w:tr w14:paraId="33448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2EE9876">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61AB56C8">
            <w:pPr>
              <w:shd w:val="clear" w:color="auto" w:fill="FFFFFF" w:themeFill="background1"/>
              <w:spacing w:line="380" w:lineRule="exact"/>
              <w:rPr>
                <w:rFonts w:ascii="宋体" w:hAnsi="宋体" w:cs="宋体"/>
                <w:color w:val="auto"/>
                <w:szCs w:val="21"/>
                <w:highlight w:val="none"/>
              </w:rPr>
            </w:pPr>
            <w:bookmarkStart w:id="94" w:name="_17.1"/>
            <w:bookmarkEnd w:id="94"/>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0BF79CBF">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14:paraId="5BC46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5B6ED74">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131BDCED">
            <w:pPr>
              <w:shd w:val="clear" w:color="auto" w:fill="FFFFFF" w:themeFill="background1"/>
              <w:spacing w:line="380" w:lineRule="exact"/>
              <w:rPr>
                <w:rFonts w:ascii="宋体" w:hAnsi="宋体" w:cs="宋体"/>
                <w:color w:val="auto"/>
                <w:szCs w:val="21"/>
                <w:highlight w:val="none"/>
              </w:rPr>
            </w:pPr>
            <w:bookmarkStart w:id="95" w:name="_18"/>
            <w:bookmarkEnd w:id="95"/>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5FB8D11E">
            <w:pPr>
              <w:shd w:val="clear" w:color="auto" w:fill="FFFFFF" w:themeFill="background1"/>
              <w:autoSpaceDE w:val="0"/>
              <w:autoSpaceDN w:val="0"/>
              <w:snapToGrid w:val="0"/>
              <w:spacing w:line="380" w:lineRule="exact"/>
              <w:textAlignment w:val="bottom"/>
              <w:rPr>
                <w:rFonts w:ascii="宋体" w:hAnsi="宋体" w:cs="宋体"/>
                <w:b/>
                <w:bCs/>
                <w:color w:val="auto"/>
                <w:szCs w:val="21"/>
                <w:highlight w:val="none"/>
              </w:rPr>
            </w:pPr>
            <w:r>
              <w:rPr>
                <w:rFonts w:hint="eastAsia" w:ascii="宋体" w:hAnsi="宋体" w:cs="宋体"/>
                <w:b/>
                <w:bCs/>
                <w:color w:val="auto"/>
                <w:szCs w:val="21"/>
                <w:highlight w:val="none"/>
              </w:rPr>
              <w:t>□本项目不需要缴纳投标保证金。</w:t>
            </w:r>
          </w:p>
          <w:p w14:paraId="04368B97">
            <w:pPr>
              <w:shd w:val="clear" w:color="auto" w:fill="FFFFFF" w:themeFill="background1"/>
              <w:snapToGrid w:val="0"/>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 本项目需要缴纳投标保证金，相关要求如下：</w:t>
            </w:r>
          </w:p>
          <w:p w14:paraId="42A85CA2">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1.投标保证金的缴纳方式：详见招标公告</w:t>
            </w:r>
          </w:p>
          <w:p w14:paraId="5CF0DE7D">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2.投标保证金的金额：详见招标公告</w:t>
            </w:r>
          </w:p>
          <w:p w14:paraId="3EC49795">
            <w:pPr>
              <w:pStyle w:val="9"/>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3.投标保证金采用银行转账缴纳方式的，在投标截止时间前交至采购代理机构指定账户并且到账，投标人应将银行转账底单的复印件作为投标保证金提交凭证，放置于商务文件中，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w:t>
            </w:r>
          </w:p>
          <w:p w14:paraId="1ABB821A">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4.投标保证金采用支票、汇票、本票或者金融机构、担保机构出具的保函等缴纳方式的，投标人应将支票、汇票、本票或者金融机构、担保机构出具的保函等的复印件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。投标人必须</w:t>
            </w:r>
            <w:r>
              <w:rPr>
                <w:rFonts w:hint="eastAsia" w:ascii="宋体" w:hAnsi="宋体" w:cs="宋体"/>
                <w:color w:val="auto"/>
                <w:kern w:val="0"/>
                <w:szCs w:val="21"/>
                <w:highlight w:val="none"/>
              </w:rPr>
              <w:t>在投标截止时间前</w:t>
            </w:r>
            <w:r>
              <w:rPr>
                <w:rFonts w:hint="eastAsia" w:ascii="宋体" w:hAnsi="宋体" w:cs="宋体"/>
                <w:color w:val="auto"/>
                <w:szCs w:val="21"/>
                <w:highlight w:val="none"/>
              </w:rPr>
              <w:t>将支票、汇票、本票或者金融、担保机构出具的保函等原件提交给采购代理机构，由采购代理机构向投标人出具回执，并妥善保管。</w:t>
            </w:r>
          </w:p>
          <w:p w14:paraId="2E46611A">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5.缴纳投标保证金指定账户：详见招标公告。</w:t>
            </w:r>
          </w:p>
          <w:p w14:paraId="7C480030">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6.投标人为联合体的，可以由联合体中的一方或者多方共同缴纳投标保证金，其缴纳的投标保证金对联合体各方均具有约束力。</w:t>
            </w:r>
          </w:p>
          <w:p w14:paraId="1BEB5057">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20CF98D4">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1. 投标保证金在投标截止时间后提交的，或者不按规定缴纳方式缴纳的，或者未足额缴纳的（包含保函额度不足的），视为无效投标保证金。</w:t>
            </w:r>
          </w:p>
          <w:p w14:paraId="2C45CDA4">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2.投标人采用现金方式或者从个人账户（自然人投标除外）转出的投标保证金，视为无效投标保证金。</w:t>
            </w:r>
          </w:p>
          <w:p w14:paraId="3B961D0B">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3.支票、汇票或者本票出现无效或者背书情形的，视为无效投标保证金。</w:t>
            </w:r>
          </w:p>
          <w:p w14:paraId="1F6BF412">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4.保函有效期低于投标有效期的，视为无效投标保证金。</w:t>
            </w:r>
          </w:p>
          <w:p w14:paraId="5B1FBEBB">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b/>
                <w:color w:val="auto"/>
                <w:szCs w:val="21"/>
                <w:highlight w:val="none"/>
              </w:rPr>
              <w:t>5.采用金融、担保机构出具保函的，必须为无条件保函，否则视为无效投标保证金</w:t>
            </w:r>
            <w:r>
              <w:rPr>
                <w:rFonts w:hint="eastAsia" w:ascii="宋体" w:hAnsi="宋体" w:cs="宋体"/>
                <w:b/>
                <w:bCs/>
                <w:color w:val="auto"/>
                <w:szCs w:val="21"/>
                <w:highlight w:val="none"/>
              </w:rPr>
              <w:t>。</w:t>
            </w:r>
          </w:p>
        </w:tc>
      </w:tr>
      <w:tr w14:paraId="56CF9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6B84101">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6659B25C">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4CCEC6EA">
            <w:pPr>
              <w:shd w:val="clear" w:color="auto" w:fill="FFFFFF" w:themeFill="background1"/>
              <w:spacing w:line="380" w:lineRule="exact"/>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color w:val="auto"/>
                <w:szCs w:val="21"/>
                <w:highlight w:val="none"/>
              </w:rPr>
              <w:t>（注：按照本招标文件“第六章 投标文件格式”编写，第六章未附格式的，由投标人自行拟定。）</w:t>
            </w:r>
          </w:p>
        </w:tc>
      </w:tr>
      <w:tr w14:paraId="3657B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DCEBECE">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42EF08B6">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05EA06F2">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3B513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vAlign w:val="center"/>
          </w:tcPr>
          <w:p w14:paraId="34890924">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210307EF">
            <w:pPr>
              <w:shd w:val="clear" w:color="auto" w:fill="FFFFFF" w:themeFill="background1"/>
              <w:spacing w:line="380" w:lineRule="exact"/>
              <w:rPr>
                <w:rFonts w:ascii="宋体" w:hAnsi="宋体" w:cs="宋体"/>
                <w:color w:val="auto"/>
                <w:szCs w:val="21"/>
                <w:highlight w:val="none"/>
              </w:rPr>
            </w:pPr>
            <w:bookmarkStart w:id="96" w:name="_21.1"/>
            <w:bookmarkEnd w:id="96"/>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3F808E4B">
            <w:pPr>
              <w:shd w:val="clear" w:color="auto" w:fill="FFFFFF" w:themeFill="background1"/>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4324B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vAlign w:val="center"/>
          </w:tcPr>
          <w:p w14:paraId="1F202A6A">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4FF1EDE">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66098ED8">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728E6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vAlign w:val="center"/>
          </w:tcPr>
          <w:p w14:paraId="307D686F">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2757986">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5389966B">
            <w:pPr>
              <w:shd w:val="clear" w:color="auto" w:fill="FFFFFF" w:themeFill="background1"/>
              <w:snapToGrid w:val="0"/>
              <w:spacing w:line="380" w:lineRule="exact"/>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无</w:t>
            </w:r>
          </w:p>
          <w:p w14:paraId="6997FBA2">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无</w:t>
            </w:r>
          </w:p>
        </w:tc>
      </w:tr>
      <w:tr w14:paraId="1EB62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15A609D">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23C875E7">
            <w:pPr>
              <w:shd w:val="clear" w:color="auto" w:fill="FFFFFF" w:themeFill="background1"/>
              <w:spacing w:line="380" w:lineRule="exact"/>
              <w:rPr>
                <w:rFonts w:ascii="宋体" w:hAnsi="宋体" w:cs="宋体"/>
                <w:color w:val="auto"/>
                <w:szCs w:val="21"/>
                <w:highlight w:val="none"/>
              </w:rPr>
            </w:pPr>
            <w:bookmarkStart w:id="97" w:name="_23"/>
            <w:bookmarkEnd w:id="97"/>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74BFD433">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696FE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D2368C0">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328C24A9">
            <w:pPr>
              <w:shd w:val="clear" w:color="auto" w:fill="FFFFFF" w:themeFill="background1"/>
              <w:spacing w:line="380" w:lineRule="exact"/>
              <w:rPr>
                <w:rFonts w:ascii="宋体" w:hAnsi="宋体" w:cs="宋体"/>
                <w:color w:val="auto"/>
                <w:szCs w:val="21"/>
                <w:highlight w:val="none"/>
              </w:rPr>
            </w:pPr>
            <w:bookmarkStart w:id="98" w:name="_25.3"/>
            <w:bookmarkEnd w:id="98"/>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0CA6BE6A">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6483237A">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7ADAB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403AEC2">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6934E65">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42C6277B">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590DD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0B91381">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71086EF">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7E42CD74">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在查询网站中直接截图查询记录，截图作为附件在广西政府采购云平台上传保存。</w:t>
            </w:r>
          </w:p>
        </w:tc>
      </w:tr>
      <w:tr w14:paraId="3E762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27E647D">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FE651AA">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5C416572">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93B6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8E2BE97">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15F8A36D">
            <w:pPr>
              <w:shd w:val="clear" w:color="auto" w:fill="FFFFFF" w:themeFill="background1"/>
              <w:spacing w:line="380" w:lineRule="exact"/>
              <w:rPr>
                <w:rFonts w:ascii="宋体" w:hAnsi="宋体" w:cs="宋体"/>
                <w:color w:val="auto"/>
                <w:szCs w:val="21"/>
                <w:highlight w:val="none"/>
              </w:rPr>
            </w:pPr>
            <w:bookmarkStart w:id="99" w:name="_28.3"/>
            <w:bookmarkEnd w:id="99"/>
            <w:bookmarkStart w:id="100" w:name="_26"/>
            <w:bookmarkEnd w:id="100"/>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29489885">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 综合评分法</w:t>
            </w:r>
          </w:p>
          <w:p w14:paraId="54591F34">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2C3A8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nil"/>
              <w:right w:val="single" w:color="auto" w:sz="4" w:space="0"/>
            </w:tcBorders>
            <w:vAlign w:val="center"/>
          </w:tcPr>
          <w:p w14:paraId="5032BF87">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bottom w:val="nil"/>
              <w:right w:val="single" w:color="auto" w:sz="4" w:space="0"/>
            </w:tcBorders>
            <w:vAlign w:val="center"/>
          </w:tcPr>
          <w:p w14:paraId="52035449">
            <w:pPr>
              <w:shd w:val="clear" w:color="auto" w:fill="FFFFFF" w:themeFill="background1"/>
              <w:spacing w:line="380" w:lineRule="exact"/>
              <w:rPr>
                <w:rFonts w:ascii="宋体" w:hAnsi="宋体" w:cs="宋体"/>
                <w:color w:val="auto"/>
                <w:szCs w:val="21"/>
                <w:highlight w:val="none"/>
              </w:rPr>
            </w:pPr>
            <w:bookmarkStart w:id="101" w:name="_29.2.2（2）"/>
            <w:bookmarkEnd w:id="101"/>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14:paraId="74A947D0">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项。</w:t>
            </w:r>
          </w:p>
          <w:p w14:paraId="6EAE2320">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740E5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90C7435">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3C727F76">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确定中标人时，出现中标候选人排名并列的情形，确定中标人方式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405552EF">
            <w:pPr>
              <w:pStyle w:val="9"/>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采购人确定中标人时，出现中标候选人并列的情形，采购人按以下的方式确定中标人：</w:t>
            </w:r>
          </w:p>
          <w:p w14:paraId="2F41F3EC">
            <w:pPr>
              <w:pStyle w:val="9"/>
              <w:shd w:val="clear" w:color="auto" w:fill="FFFFFF" w:themeFill="background1"/>
              <w:spacing w:line="3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总得分相同的，以投标报价由低到高顺序排列；得分相同且投标报价相同的，按技术分得分由高到低顺序排列；总得分相同且投标报价相同且技术得分相同的，按商务分得分由高到低的顺序排列</w:t>
            </w:r>
            <w:r>
              <w:rPr>
                <w:rFonts w:hint="eastAsia" w:ascii="宋体" w:hAnsi="宋体" w:cs="宋体"/>
                <w:color w:val="auto"/>
                <w:szCs w:val="21"/>
                <w:highlight w:val="none"/>
                <w:lang w:eastAsia="zh-CN"/>
              </w:rPr>
              <w:t>。</w:t>
            </w:r>
          </w:p>
          <w:p w14:paraId="29579087">
            <w:pPr>
              <w:pStyle w:val="9"/>
              <w:shd w:val="clear" w:color="auto" w:fill="FFFFFF" w:themeFill="background1"/>
              <w:spacing w:line="380" w:lineRule="exact"/>
              <w:rPr>
                <w:rFonts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color w:val="auto"/>
                <w:highlight w:val="none"/>
              </w:rPr>
              <w:t>采取随机抽取的方式确定。</w:t>
            </w:r>
          </w:p>
        </w:tc>
      </w:tr>
      <w:tr w14:paraId="52509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FCE58CE">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145CEF69">
            <w:pPr>
              <w:shd w:val="clear" w:color="auto" w:fill="FFFFFF" w:themeFill="background1"/>
              <w:spacing w:line="380" w:lineRule="exact"/>
              <w:rPr>
                <w:rFonts w:ascii="宋体" w:hAnsi="宋体" w:cs="宋体"/>
                <w:color w:val="auto"/>
                <w:szCs w:val="21"/>
                <w:highlight w:val="none"/>
              </w:rPr>
            </w:pPr>
            <w:bookmarkStart w:id="102" w:name="_39.1"/>
            <w:bookmarkEnd w:id="102"/>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02E6FA63">
            <w:pPr>
              <w:shd w:val="clear" w:color="auto" w:fill="FFFFFF" w:themeFill="background1"/>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 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p w14:paraId="4728DE08">
            <w:pPr>
              <w:shd w:val="clear" w:color="auto" w:fill="FFFFFF" w:themeFill="background1"/>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 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履约保证金，相关要求如下：</w:t>
            </w:r>
          </w:p>
          <w:p w14:paraId="72CC3F8E">
            <w:pPr>
              <w:numPr>
                <w:ilvl w:val="0"/>
                <w:numId w:val="1"/>
              </w:num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履约保证金金额：中标金额的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若中标人为中小企业，则收取的履约保证金数额为政府采购合同金额的2%</w:t>
            </w:r>
            <w:r>
              <w:rPr>
                <w:rFonts w:hint="eastAsia" w:ascii="宋体" w:hAnsi="宋体" w:cs="宋体"/>
                <w:color w:val="auto"/>
                <w:szCs w:val="21"/>
                <w:highlight w:val="none"/>
              </w:rPr>
              <w:t>）。</w:t>
            </w:r>
          </w:p>
          <w:p w14:paraId="64D6A046">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2.履约保证金递交方式：中标人在</w:t>
            </w:r>
            <w:r>
              <w:rPr>
                <w:rFonts w:hint="eastAsia" w:ascii="宋体" w:hAnsi="宋体" w:cs="宋体"/>
                <w:color w:val="auto"/>
                <w:kern w:val="0"/>
                <w:szCs w:val="21"/>
                <w:highlight w:val="none"/>
                <w:u w:val="single"/>
              </w:rPr>
              <w:t>签订合同</w:t>
            </w:r>
            <w:r>
              <w:rPr>
                <w:rFonts w:hint="eastAsia" w:ascii="宋体" w:hAnsi="宋体" w:cs="宋体"/>
                <w:color w:val="auto"/>
                <w:szCs w:val="21"/>
                <w:highlight w:val="none"/>
                <w:u w:val="single"/>
              </w:rPr>
              <w:t>前</w:t>
            </w:r>
            <w:r>
              <w:rPr>
                <w:rFonts w:hint="eastAsia" w:ascii="宋体" w:hAnsi="宋体" w:cs="宋体"/>
                <w:color w:val="auto"/>
                <w:szCs w:val="21"/>
                <w:highlight w:val="none"/>
              </w:rPr>
              <w:t>以银行转账、支票、汇票、本票或者金融机构、担保机构出具的保函等非现金方式向</w:t>
            </w:r>
            <w:r>
              <w:rPr>
                <w:rFonts w:hint="eastAsia" w:ascii="宋体" w:hAnsi="宋体" w:cs="宋体"/>
                <w:color w:val="auto"/>
                <w:szCs w:val="21"/>
                <w:highlight w:val="none"/>
                <w:u w:val="single"/>
              </w:rPr>
              <w:t>采购人</w:t>
            </w:r>
            <w:r>
              <w:rPr>
                <w:rFonts w:hint="eastAsia" w:ascii="宋体" w:hAnsi="宋体" w:cs="宋体"/>
                <w:color w:val="auto"/>
                <w:szCs w:val="21"/>
                <w:highlight w:val="none"/>
              </w:rPr>
              <w:t>提交。</w:t>
            </w:r>
          </w:p>
          <w:p w14:paraId="2F656335">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u w:val="single"/>
              </w:rPr>
            </w:pPr>
            <w:r>
              <w:rPr>
                <w:rFonts w:hint="eastAsia" w:ascii="宋体" w:hAnsi="宋体" w:cs="宋体"/>
                <w:color w:val="auto"/>
                <w:szCs w:val="21"/>
                <w:highlight w:val="none"/>
              </w:rPr>
              <w:t>3.履约保证金退付方式、时间及条件：</w:t>
            </w:r>
            <w:r>
              <w:rPr>
                <w:rFonts w:hint="eastAsia" w:ascii="宋体" w:hAnsi="宋体" w:cs="宋体"/>
                <w:color w:val="auto"/>
                <w:szCs w:val="21"/>
                <w:highlight w:val="none"/>
                <w:u w:val="single"/>
              </w:rPr>
              <w:t>合同履行期满，无合同履约质量问题的，由中标人向采购人提供《政府采购项目履约保证金退付意见书》，采购人在收到合格材料后10个工作日内办理退还手续（不计利息）。</w:t>
            </w:r>
          </w:p>
          <w:p w14:paraId="504FA1DD">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4.缴纳履约保证金的指定账户：</w:t>
            </w:r>
          </w:p>
          <w:p w14:paraId="3F70383A">
            <w:pPr>
              <w:shd w:val="clear" w:color="auto" w:fill="FFFFFF" w:themeFill="background1"/>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开户名称：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5B90B92">
            <w:pPr>
              <w:shd w:val="clear" w:color="auto" w:fill="FFFFFF" w:themeFill="background1"/>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0998E69">
            <w:pPr>
              <w:shd w:val="clear" w:color="auto" w:fill="FFFFFF" w:themeFill="background1"/>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银行账号：</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E24B8AF">
            <w:pPr>
              <w:shd w:val="clear" w:color="auto" w:fill="FFFFFF" w:themeFill="background1"/>
              <w:spacing w:line="380" w:lineRule="exact"/>
              <w:jc w:val="left"/>
              <w:rPr>
                <w:rFonts w:ascii="宋体" w:hAnsi="宋体" w:cs="宋体"/>
                <w:color w:val="auto"/>
                <w:szCs w:val="21"/>
                <w:highlight w:val="none"/>
              </w:rPr>
            </w:pPr>
            <w:r>
              <w:rPr>
                <w:rFonts w:hint="eastAsia" w:ascii="宋体" w:hAnsi="宋体" w:cs="宋体"/>
                <w:color w:val="auto"/>
                <w:szCs w:val="21"/>
                <w:highlight w:val="none"/>
              </w:rPr>
              <w:t>备注：</w:t>
            </w:r>
          </w:p>
          <w:p w14:paraId="0D758EEC">
            <w:pPr>
              <w:shd w:val="clear" w:color="auto" w:fill="FFFFFF" w:themeFill="background1"/>
              <w:spacing w:line="380" w:lineRule="exact"/>
              <w:jc w:val="left"/>
              <w:rPr>
                <w:rFonts w:ascii="宋体" w:hAnsi="宋体" w:cs="宋体"/>
                <w:b/>
                <w:color w:val="auto"/>
                <w:szCs w:val="21"/>
                <w:highlight w:val="none"/>
              </w:rPr>
            </w:pPr>
            <w:bookmarkStart w:id="103" w:name="_Hlk54170335"/>
            <w:r>
              <w:rPr>
                <w:rFonts w:hint="eastAsia" w:ascii="宋体" w:hAnsi="宋体" w:cs="宋体"/>
                <w:b/>
                <w:color w:val="auto"/>
                <w:szCs w:val="21"/>
                <w:highlight w:val="none"/>
              </w:rPr>
              <w:t>1.根据</w:t>
            </w:r>
            <w:r>
              <w:rPr>
                <w:rFonts w:hint="eastAsia" w:ascii="宋体" w:hAnsi="宋体"/>
                <w:b/>
                <w:color w:val="auto"/>
                <w:szCs w:val="21"/>
                <w:highlight w:val="none"/>
              </w:rPr>
              <w:t>《广西壮族自治区财政厅关于贯彻落实政府采购优化营商环境百日攻坚行动方案的通知》（桂财采〔2020〕49号）和</w:t>
            </w:r>
            <w:r>
              <w:rPr>
                <w:rFonts w:hint="eastAsia" w:ascii="宋体" w:hAnsi="宋体" w:cs="宋体"/>
                <w:b/>
                <w:color w:val="auto"/>
                <w:szCs w:val="21"/>
                <w:highlight w:val="none"/>
              </w:rPr>
              <w:t>《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103"/>
          </w:p>
          <w:p w14:paraId="4D634C7E">
            <w:pPr>
              <w:shd w:val="clear" w:color="auto" w:fill="FFFFFF" w:themeFill="background1"/>
              <w:spacing w:line="380" w:lineRule="exact"/>
              <w:jc w:val="left"/>
              <w:rPr>
                <w:rFonts w:ascii="宋体" w:hAnsi="宋体" w:cs="宋体"/>
                <w:b/>
                <w:color w:val="auto"/>
                <w:szCs w:val="21"/>
                <w:highlight w:val="none"/>
              </w:rPr>
            </w:pPr>
            <w:r>
              <w:rPr>
                <w:rFonts w:hint="eastAsia" w:ascii="宋体" w:hAnsi="宋体" w:cs="宋体"/>
                <w:b/>
                <w:color w:val="auto"/>
                <w:szCs w:val="21"/>
                <w:highlight w:val="none"/>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5024FF69">
            <w:pPr>
              <w:shd w:val="clear" w:color="auto" w:fill="FFFFFF" w:themeFill="background1"/>
              <w:spacing w:line="380" w:lineRule="exact"/>
              <w:jc w:val="left"/>
              <w:rPr>
                <w:rFonts w:ascii="宋体" w:hAnsi="宋体" w:cs="宋体"/>
                <w:b/>
                <w:color w:val="auto"/>
                <w:szCs w:val="21"/>
                <w:highlight w:val="none"/>
              </w:rPr>
            </w:pPr>
            <w:r>
              <w:rPr>
                <w:rFonts w:hint="eastAsia" w:ascii="宋体" w:hAnsi="宋体" w:cs="宋体"/>
                <w:b/>
                <w:color w:val="auto"/>
                <w:szCs w:val="21"/>
                <w:highlight w:val="none"/>
              </w:rPr>
              <w:t>3.采用金融、担保机构出具的保函的，必须为无条件保函，否则不予签订合同。</w:t>
            </w:r>
          </w:p>
          <w:p w14:paraId="24917F10">
            <w:pPr>
              <w:shd w:val="clear" w:color="auto" w:fill="FFFFFF" w:themeFill="background1"/>
              <w:spacing w:line="380" w:lineRule="exact"/>
              <w:jc w:val="left"/>
              <w:rPr>
                <w:rFonts w:ascii="宋体" w:hAnsi="宋体" w:cs="宋体"/>
                <w:color w:val="auto"/>
                <w:szCs w:val="21"/>
                <w:highlight w:val="none"/>
              </w:rPr>
            </w:pPr>
            <w:r>
              <w:rPr>
                <w:rFonts w:hint="eastAsia" w:ascii="宋体" w:hAnsi="宋体" w:cs="宋体"/>
                <w:b/>
                <w:color w:val="auto"/>
                <w:szCs w:val="21"/>
                <w:highlight w:val="none"/>
              </w:rPr>
              <w:t>4.投标人为联合体的，由联合体其中一方按规定提交的履约保证金，视为有效履约保证金。</w:t>
            </w:r>
          </w:p>
        </w:tc>
      </w:tr>
      <w:tr w14:paraId="66CE6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36518D7">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5BB2F802">
            <w:pPr>
              <w:shd w:val="clear" w:color="auto" w:fill="FFFFFF" w:themeFill="background1"/>
              <w:spacing w:line="380" w:lineRule="exact"/>
              <w:rPr>
                <w:rFonts w:ascii="宋体" w:hAnsi="宋体" w:cs="宋体"/>
                <w:color w:val="auto"/>
                <w:szCs w:val="21"/>
                <w:highlight w:val="none"/>
              </w:rPr>
            </w:pPr>
            <w:bookmarkStart w:id="104" w:name="_40.1"/>
            <w:bookmarkEnd w:id="104"/>
            <w:r>
              <w:rPr>
                <w:rFonts w:hint="eastAsia" w:ascii="宋体" w:hAnsi="宋体" w:cs="宋体"/>
                <w:color w:val="auto"/>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0DE99A13">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委托代理人负责签订合同的，须携带有效的法定代表人授权委托书及其委托代理人身份证原件等其他资格证件。</w:t>
            </w:r>
          </w:p>
          <w:p w14:paraId="3A0CFB55">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71A34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EA602F5">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69EE32A5">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48F56BC5">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6A1E5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226C8D4">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6AAFA67">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6B5523E5">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名称：</w:t>
            </w:r>
            <w:bookmarkStart w:id="105" w:name="PO_3000001867_PM031_3"/>
            <w:r>
              <w:rPr>
                <w:rFonts w:hint="eastAsia" w:ascii="宋体" w:hAnsi="宋体" w:cs="宋体"/>
                <w:color w:val="auto"/>
                <w:szCs w:val="21"/>
                <w:highlight w:val="none"/>
              </w:rPr>
              <w:t>广西科联招标中心有限公司</w:t>
            </w:r>
            <w:bookmarkEnd w:id="105"/>
          </w:p>
          <w:p w14:paraId="078F17C7">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联系电话： 0771-3486228</w:t>
            </w:r>
          </w:p>
          <w:p w14:paraId="52D5974E">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通讯地址：广西科联招标中心有限公司307室（广西南宁市大学东路170号广西农机研究院内）       </w:t>
            </w:r>
          </w:p>
        </w:tc>
      </w:tr>
      <w:tr w14:paraId="1ACA5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02C8CDF">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6FFFC2B">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061E07B9">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质疑期内每个工作日（北京时间）上午</w:t>
            </w:r>
            <w:r>
              <w:rPr>
                <w:rFonts w:hint="eastAsia" w:ascii="宋体" w:hAnsi="宋体" w:cs="宋体"/>
                <w:color w:val="auto"/>
                <w:szCs w:val="21"/>
                <w:highlight w:val="none"/>
                <w:u w:val="single"/>
              </w:rPr>
              <w:t>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12</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分，下午</w:t>
            </w:r>
            <w:r>
              <w:rPr>
                <w:rFonts w:hint="eastAsia" w:ascii="宋体" w:hAnsi="宋体" w:cs="宋体"/>
                <w:color w:val="auto"/>
                <w:szCs w:val="21"/>
                <w:highlight w:val="none"/>
                <w:u w:val="single"/>
              </w:rPr>
              <w:t>15</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p>
        </w:tc>
      </w:tr>
      <w:tr w14:paraId="47A06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675" w:type="dxa"/>
            <w:tcBorders>
              <w:top w:val="nil"/>
              <w:left w:val="single" w:color="auto" w:sz="4" w:space="0"/>
              <w:bottom w:val="single" w:color="auto" w:sz="4" w:space="0"/>
              <w:right w:val="single" w:color="auto" w:sz="4" w:space="0"/>
            </w:tcBorders>
            <w:vAlign w:val="center"/>
          </w:tcPr>
          <w:p w14:paraId="0FEA129F">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471F76D9">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0D889222">
            <w:pPr>
              <w:shd w:val="clear" w:color="auto" w:fill="FFFFFF" w:themeFill="background1"/>
              <w:snapToGrid w:val="0"/>
              <w:spacing w:line="380" w:lineRule="exact"/>
              <w:rPr>
                <w:rFonts w:ascii="宋体" w:hAnsi="宋体" w:cs="宋体"/>
                <w:color w:val="auto"/>
                <w:highlight w:val="none"/>
              </w:rPr>
            </w:pPr>
            <w:r>
              <w:rPr>
                <w:rFonts w:hint="eastAsia" w:ascii="宋体" w:hAnsi="宋体" w:cs="宋体"/>
                <w:color w:val="auto"/>
                <w:szCs w:val="21"/>
                <w:highlight w:val="none"/>
              </w:rPr>
              <w:t>1、受理方式：纸质方式受理，投诉书正、副本（经过质疑的事项才可投诉）。2、通讯</w:t>
            </w:r>
            <w:r>
              <w:rPr>
                <w:rFonts w:hint="eastAsia" w:ascii="宋体" w:hAnsi="宋体" w:cs="宋体"/>
                <w:color w:val="auto"/>
                <w:highlight w:val="none"/>
              </w:rPr>
              <w:t>方式</w:t>
            </w:r>
            <w:bookmarkStart w:id="106" w:name="PO_3000001867_PM038"/>
          </w:p>
          <w:p w14:paraId="49D6CE39">
            <w:pPr>
              <w:shd w:val="clear" w:color="auto" w:fill="FFFFFF" w:themeFill="background1"/>
              <w:snapToGrid w:val="0"/>
              <w:spacing w:line="380" w:lineRule="exact"/>
              <w:rPr>
                <w:rFonts w:ascii="宋体" w:hAnsi="宋体" w:cs="宋体"/>
                <w:color w:val="auto"/>
                <w:highlight w:val="none"/>
              </w:rPr>
            </w:pPr>
            <w:r>
              <w:rPr>
                <w:rFonts w:hint="eastAsia" w:ascii="宋体" w:hAnsi="宋体" w:cs="宋体"/>
                <w:color w:val="auto"/>
                <w:highlight w:val="none"/>
              </w:rPr>
              <w:t>名称：</w:t>
            </w:r>
            <w:bookmarkStart w:id="107" w:name="PO_3000001867_PM036"/>
            <w:r>
              <w:rPr>
                <w:rFonts w:hint="eastAsia" w:ascii="宋体" w:hAnsi="宋体" w:cs="宋体"/>
                <w:color w:val="auto"/>
                <w:highlight w:val="none"/>
              </w:rPr>
              <w:t xml:space="preserve">广西壮族自治区财政厅政府采购监督管理处 </w:t>
            </w:r>
            <w:bookmarkEnd w:id="107"/>
            <w:r>
              <w:rPr>
                <w:rFonts w:hint="eastAsia" w:ascii="宋体" w:hAnsi="宋体" w:cs="宋体"/>
                <w:color w:val="auto"/>
                <w:highlight w:val="none"/>
              </w:rPr>
              <w:t xml:space="preserve"> </w:t>
            </w:r>
          </w:p>
          <w:p w14:paraId="1696A349">
            <w:pPr>
              <w:shd w:val="clear" w:color="auto" w:fill="FFFFFF" w:themeFill="background1"/>
              <w:snapToGrid w:val="0"/>
              <w:spacing w:line="380" w:lineRule="exact"/>
              <w:rPr>
                <w:rFonts w:ascii="宋体" w:hAnsi="宋体" w:cs="宋体"/>
                <w:color w:val="auto"/>
                <w:highlight w:val="none"/>
              </w:rPr>
            </w:pPr>
            <w:r>
              <w:rPr>
                <w:rFonts w:hint="eastAsia" w:ascii="宋体" w:hAnsi="宋体" w:cs="宋体"/>
                <w:color w:val="auto"/>
                <w:highlight w:val="none"/>
              </w:rPr>
              <w:t>地址：</w:t>
            </w:r>
            <w:bookmarkStart w:id="108" w:name="PO_3000001867_PM039"/>
            <w:r>
              <w:rPr>
                <w:rFonts w:hint="eastAsia" w:ascii="宋体" w:hAnsi="宋体" w:cs="宋体"/>
                <w:color w:val="auto"/>
                <w:highlight w:val="none"/>
              </w:rPr>
              <w:t xml:space="preserve">南宁市桃源路69号广西财政大厦7楼 </w:t>
            </w:r>
            <w:bookmarkEnd w:id="108"/>
            <w:r>
              <w:rPr>
                <w:rFonts w:hint="eastAsia" w:ascii="宋体" w:hAnsi="宋体" w:cs="宋体"/>
                <w:color w:val="auto"/>
                <w:highlight w:val="none"/>
              </w:rPr>
              <w:t xml:space="preserve"> </w:t>
            </w:r>
          </w:p>
          <w:p w14:paraId="5629BE34">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highlight w:val="none"/>
              </w:rPr>
              <w:t xml:space="preserve">联系电话：0771-2189091 </w:t>
            </w:r>
            <w:bookmarkEnd w:id="106"/>
          </w:p>
        </w:tc>
      </w:tr>
      <w:tr w14:paraId="08FC0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781F8ED">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16DD4833">
            <w:pPr>
              <w:shd w:val="clear" w:color="auto" w:fill="FFFFFF" w:themeFill="background1"/>
              <w:spacing w:line="380" w:lineRule="exact"/>
              <w:rPr>
                <w:rFonts w:ascii="宋体" w:hAnsi="宋体" w:cs="宋体"/>
                <w:color w:val="auto"/>
                <w:szCs w:val="21"/>
                <w:highlight w:val="none"/>
              </w:rPr>
            </w:pPr>
            <w:bookmarkStart w:id="109" w:name="_42"/>
            <w:bookmarkEnd w:id="109"/>
            <w:bookmarkStart w:id="110" w:name="_41"/>
            <w:bookmarkEnd w:id="110"/>
            <w:r>
              <w:rPr>
                <w:rFonts w:hint="eastAsia" w:ascii="宋体" w:hAnsi="宋体" w:cs="宋体"/>
                <w:color w:val="auto"/>
                <w:szCs w:val="21"/>
                <w:highlight w:val="none"/>
              </w:rPr>
              <w:t>采购代理服务费支付方式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29865BF4">
            <w:pPr>
              <w:pStyle w:val="13"/>
              <w:shd w:val="clear" w:color="auto" w:fill="FFFFFF" w:themeFill="background1"/>
              <w:snapToGrid w:val="0"/>
              <w:spacing w:line="380" w:lineRule="exact"/>
              <w:rPr>
                <w:rFonts w:hAnsi="宋体" w:cs="宋体"/>
                <w:color w:val="auto"/>
                <w:szCs w:val="21"/>
                <w:highlight w:val="none"/>
              </w:rPr>
            </w:pPr>
            <w:r>
              <w:rPr>
                <w:rFonts w:hint="eastAsia" w:hAnsi="宋体" w:cs="宋体"/>
                <w:color w:val="auto"/>
                <w:szCs w:val="21"/>
                <w:highlight w:val="none"/>
              </w:rPr>
              <w:t>☑ 本项目采购代理服务费由</w:t>
            </w:r>
            <w:r>
              <w:rPr>
                <w:rFonts w:hint="eastAsia" w:hAnsi="宋体" w:cs="宋体"/>
                <w:color w:val="auto"/>
                <w:szCs w:val="21"/>
                <w:highlight w:val="none"/>
                <w:u w:val="single"/>
              </w:rPr>
              <w:t>中标人</w:t>
            </w:r>
            <w:r>
              <w:rPr>
                <w:rFonts w:hint="eastAsia" w:hAnsi="宋体" w:cs="宋体"/>
                <w:color w:val="auto"/>
                <w:highlight w:val="none"/>
              </w:rPr>
              <w:t>在签订合同前，以银行转账、电汇等方式一次性向采购代理机构支付</w:t>
            </w:r>
            <w:r>
              <w:rPr>
                <w:rFonts w:hint="eastAsia" w:hAnsi="宋体" w:cs="宋体"/>
                <w:color w:val="auto"/>
                <w:szCs w:val="21"/>
                <w:highlight w:val="none"/>
              </w:rPr>
              <w:t>。</w:t>
            </w:r>
          </w:p>
          <w:p w14:paraId="16C53713">
            <w:pPr>
              <w:pStyle w:val="13"/>
              <w:shd w:val="clear" w:color="auto" w:fill="FFFFFF" w:themeFill="background1"/>
              <w:snapToGrid w:val="0"/>
              <w:spacing w:line="380" w:lineRule="exact"/>
              <w:rPr>
                <w:rFonts w:hAnsi="宋体" w:cs="宋体"/>
                <w:color w:val="auto"/>
                <w:szCs w:val="21"/>
                <w:highlight w:val="none"/>
              </w:rPr>
            </w:pPr>
            <w:r>
              <w:rPr>
                <w:rFonts w:hint="eastAsia" w:hAnsi="宋体" w:cs="宋体"/>
                <w:color w:val="auto"/>
                <w:szCs w:val="21"/>
                <w:highlight w:val="none"/>
              </w:rPr>
              <w:t>□采购人支付</w:t>
            </w:r>
            <w:r>
              <w:rPr>
                <w:rFonts w:hint="eastAsia" w:hAnsi="宋体" w:cs="宋体"/>
                <w:color w:val="auto"/>
                <w:highlight w:val="none"/>
              </w:rPr>
              <w:t>：</w:t>
            </w:r>
            <w:r>
              <w:rPr>
                <w:rFonts w:hint="eastAsia" w:hAnsi="宋体" w:cs="宋体"/>
                <w:i/>
                <w:iCs/>
                <w:color w:val="auto"/>
                <w:highlight w:val="none"/>
                <w:u w:val="single"/>
              </w:rPr>
              <w:t xml:space="preserve">       </w:t>
            </w:r>
          </w:p>
          <w:p w14:paraId="5FC9CC15">
            <w:pPr>
              <w:pStyle w:val="13"/>
              <w:shd w:val="clear" w:color="auto" w:fill="FFFFFF" w:themeFill="background1"/>
              <w:snapToGrid w:val="0"/>
              <w:spacing w:line="380" w:lineRule="exact"/>
              <w:rPr>
                <w:rFonts w:hAnsi="宋体" w:cs="宋体"/>
                <w:color w:val="auto"/>
                <w:szCs w:val="21"/>
                <w:highlight w:val="none"/>
              </w:rPr>
            </w:pPr>
            <w:r>
              <w:rPr>
                <w:rFonts w:hint="eastAsia" w:hAnsi="宋体" w:cs="宋体"/>
                <w:color w:val="auto"/>
                <w:szCs w:val="21"/>
                <w:highlight w:val="none"/>
              </w:rPr>
              <w:t>□本项目不收取采购代理服务费。</w:t>
            </w:r>
          </w:p>
        </w:tc>
      </w:tr>
      <w:tr w14:paraId="1FC2C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BB4D6B4">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A0B8B6C">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240F65BB">
            <w:pPr>
              <w:shd w:val="clear" w:color="auto" w:fill="FFFFFF" w:themeFill="background1"/>
              <w:snapToGrid w:val="0"/>
              <w:spacing w:line="380" w:lineRule="exact"/>
              <w:rPr>
                <w:rFonts w:ascii="宋体" w:hAnsi="宋体" w:cs="宋体"/>
                <w:color w:val="auto"/>
                <w:szCs w:val="20"/>
                <w:highlight w:val="none"/>
              </w:rPr>
            </w:pPr>
            <w:r>
              <w:rPr>
                <w:rFonts w:hint="eastAsia" w:ascii="宋体" w:hAnsi="宋体" w:cs="宋体"/>
                <w:color w:val="auto"/>
                <w:szCs w:val="20"/>
                <w:highlight w:val="none"/>
              </w:rPr>
              <w:t>☑ 以</w:t>
            </w:r>
            <w:r>
              <w:rPr>
                <w:rFonts w:hint="eastAsia" w:ascii="宋体" w:hAnsi="宋体" w:cs="宋体"/>
                <w:color w:val="auto"/>
                <w:kern w:val="0"/>
                <w:szCs w:val="21"/>
                <w:highlight w:val="none"/>
              </w:rPr>
              <w:t>项目</w:t>
            </w:r>
            <w:r>
              <w:rPr>
                <w:rFonts w:hint="eastAsia" w:ascii="宋体" w:hAnsi="宋体" w:cs="宋体"/>
                <w:color w:val="auto"/>
                <w:szCs w:val="20"/>
                <w:highlight w:val="none"/>
              </w:rPr>
              <w:t>（☑中标金额/□采购预算/□暂定中标金额/□其他</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）为计费额，按本须知正文第40.2条规定的收费计算标准（服务类）采用差额定率累进法计算出收费基准价格，采购代理收费以（☑收费基准价格/□收费基准价格下浮</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/□收费基准价格上浮</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）收取。</w:t>
            </w:r>
          </w:p>
          <w:p w14:paraId="5F2CEA1B">
            <w:pPr>
              <w:pStyle w:val="13"/>
              <w:shd w:val="clear" w:color="auto" w:fill="FFFFFF" w:themeFill="background1"/>
              <w:snapToGrid w:val="0"/>
              <w:spacing w:line="380" w:lineRule="exact"/>
              <w:rPr>
                <w:rFonts w:hAnsi="宋体" w:cs="宋体"/>
                <w:color w:val="auto"/>
                <w:szCs w:val="21"/>
                <w:highlight w:val="none"/>
                <w:u w:val="single"/>
              </w:rPr>
            </w:pPr>
            <w:r>
              <w:rPr>
                <w:rFonts w:hint="eastAsia" w:hAnsi="宋体" w:cs="宋体"/>
                <w:color w:val="auto"/>
                <w:highlight w:val="none"/>
              </w:rPr>
              <w:t>□固定采购代理收费：</w:t>
            </w:r>
            <w:r>
              <w:rPr>
                <w:rFonts w:hint="eastAsia" w:hAnsi="宋体" w:cs="宋体"/>
                <w:color w:val="auto"/>
                <w:highlight w:val="none"/>
                <w:u w:val="single"/>
              </w:rPr>
              <w:t xml:space="preserve">           。</w:t>
            </w:r>
          </w:p>
        </w:tc>
      </w:tr>
      <w:tr w14:paraId="713B4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9239A54">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FA911BE">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采购代理服务费收款账户信息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4B4EDFC0">
            <w:pPr>
              <w:pStyle w:val="13"/>
              <w:shd w:val="clear" w:color="auto" w:fill="FFFFFF" w:themeFill="background1"/>
              <w:snapToGrid w:val="0"/>
              <w:spacing w:line="380" w:lineRule="exact"/>
              <w:rPr>
                <w:rFonts w:hAnsi="宋体" w:cs="宋体"/>
                <w:color w:val="auto"/>
                <w:szCs w:val="21"/>
                <w:highlight w:val="none"/>
              </w:rPr>
            </w:pPr>
            <w:r>
              <w:rPr>
                <w:rFonts w:hint="eastAsia" w:hAnsi="宋体" w:cs="宋体"/>
                <w:color w:val="auto"/>
                <w:szCs w:val="21"/>
                <w:highlight w:val="none"/>
              </w:rPr>
              <w:t>开户名称：广西科联招标中心有限公司</w:t>
            </w:r>
          </w:p>
          <w:p w14:paraId="486FF8E4">
            <w:pPr>
              <w:pStyle w:val="13"/>
              <w:shd w:val="clear" w:color="auto" w:fill="FFFFFF" w:themeFill="background1"/>
              <w:snapToGrid w:val="0"/>
              <w:spacing w:line="380" w:lineRule="exact"/>
              <w:rPr>
                <w:rFonts w:hAnsi="宋体" w:cs="宋体"/>
                <w:color w:val="auto"/>
                <w:szCs w:val="21"/>
                <w:highlight w:val="none"/>
              </w:rPr>
            </w:pPr>
            <w:r>
              <w:rPr>
                <w:rFonts w:hint="eastAsia" w:hAnsi="宋体" w:cs="宋体"/>
                <w:color w:val="auto"/>
                <w:szCs w:val="21"/>
                <w:highlight w:val="none"/>
              </w:rPr>
              <w:t>开户银行：中国工商银行南宁市高新科技支行</w:t>
            </w:r>
          </w:p>
          <w:p w14:paraId="62A4F08C">
            <w:pPr>
              <w:pStyle w:val="13"/>
              <w:shd w:val="clear" w:color="auto" w:fill="FFFFFF" w:themeFill="background1"/>
              <w:snapToGrid w:val="0"/>
              <w:spacing w:line="380" w:lineRule="exact"/>
              <w:rPr>
                <w:rFonts w:hAnsi="宋体" w:cs="宋体"/>
                <w:color w:val="auto"/>
                <w:szCs w:val="21"/>
                <w:highlight w:val="none"/>
              </w:rPr>
            </w:pPr>
            <w:r>
              <w:rPr>
                <w:rFonts w:hint="eastAsia" w:hAnsi="宋体" w:cs="宋体"/>
                <w:color w:val="auto"/>
                <w:szCs w:val="21"/>
                <w:highlight w:val="none"/>
              </w:rPr>
              <w:t>银行账号：2102111229300032105</w:t>
            </w:r>
          </w:p>
          <w:p w14:paraId="7512E39C">
            <w:pPr>
              <w:pStyle w:val="13"/>
              <w:shd w:val="clear" w:color="auto" w:fill="FFFFFF" w:themeFill="background1"/>
              <w:snapToGrid w:val="0"/>
              <w:spacing w:line="380" w:lineRule="exact"/>
              <w:rPr>
                <w:rFonts w:hAnsi="宋体" w:cs="宋体"/>
                <w:color w:val="auto"/>
                <w:szCs w:val="21"/>
                <w:highlight w:val="none"/>
              </w:rPr>
            </w:pPr>
            <w:r>
              <w:rPr>
                <w:rFonts w:hint="eastAsia" w:hAnsi="宋体" w:cs="宋体"/>
                <w:color w:val="auto"/>
                <w:szCs w:val="21"/>
                <w:highlight w:val="none"/>
              </w:rPr>
              <w:t>开户行行号：10261101110</w:t>
            </w:r>
          </w:p>
        </w:tc>
      </w:tr>
      <w:tr w14:paraId="499E2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73D6A27">
            <w:pPr>
              <w:shd w:val="clear" w:color="auto" w:fill="FFFFFF" w:themeFill="background1"/>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1A04A8BE">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398F3ED5">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解释：</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0B5ADD21">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法律责任：</w:t>
            </w:r>
          </w:p>
          <w:p w14:paraId="5189D4E7">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14:paraId="0F5C8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8915C1D">
            <w:pPr>
              <w:shd w:val="clear" w:color="auto" w:fill="FFFFFF" w:themeFill="background1"/>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6F8EC408">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2B707B80">
            <w:pPr>
              <w:pStyle w:val="9"/>
              <w:shd w:val="clear" w:color="auto" w:fill="FFFFFF" w:themeFill="background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4639D398">
            <w:pPr>
              <w:pStyle w:val="9"/>
              <w:shd w:val="clear" w:color="auto" w:fill="FFFFFF" w:themeFill="background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2、本招标文件中描述投标人的“签字”是指投标人通过指定电子化政府采购平台办理数字证书（CA认证）获得的以投标人法定代表人或者委托代理人姓名制作的电子印章或手写签字。</w:t>
            </w:r>
          </w:p>
          <w:p w14:paraId="5302F0FA">
            <w:pPr>
              <w:pStyle w:val="9"/>
              <w:shd w:val="clear" w:color="auto" w:fill="FFFFFF" w:themeFill="background1"/>
              <w:tabs>
                <w:tab w:val="center" w:pos="4153"/>
                <w:tab w:val="right" w:pos="8306"/>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54DB3C48">
            <w:pPr>
              <w:pStyle w:val="9"/>
              <w:shd w:val="clear" w:color="auto" w:fill="FFFFFF" w:themeFill="background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1E58523A">
            <w:pPr>
              <w:pStyle w:val="9"/>
              <w:shd w:val="clear" w:color="auto" w:fill="FFFFFF" w:themeFill="background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5、自然人投标的，招标文件规定盖公章处由自然人摁手指指印。</w:t>
            </w:r>
          </w:p>
          <w:p w14:paraId="2CFF3C39">
            <w:pPr>
              <w:shd w:val="clear" w:color="auto" w:fill="FFFFFF" w:themeFill="background1"/>
              <w:spacing w:line="380" w:lineRule="exact"/>
              <w:jc w:val="left"/>
              <w:rPr>
                <w:rFonts w:ascii="宋体" w:hAnsi="宋体" w:cs="宋体"/>
                <w:color w:val="auto"/>
                <w:szCs w:val="21"/>
                <w:highlight w:val="none"/>
              </w:rPr>
            </w:pPr>
            <w:r>
              <w:rPr>
                <w:rFonts w:hint="eastAsia" w:ascii="宋体" w:hAnsi="宋体" w:cs="宋体"/>
                <w:color w:val="auto"/>
                <w:szCs w:val="21"/>
                <w:highlight w:val="none"/>
              </w:rPr>
              <w:t xml:space="preserve">    6、本招标文件所称的“以上”“以下”“以内”“届满”，包括本数；所称的“不满”“超过”“以外”，不包括本数。</w:t>
            </w:r>
          </w:p>
        </w:tc>
      </w:tr>
    </w:tbl>
    <w:p w14:paraId="5DF4A748">
      <w:pPr>
        <w:widowControl/>
        <w:shd w:val="clear" w:color="auto" w:fill="FFFFFF" w:themeFill="background1"/>
        <w:spacing w:line="412" w:lineRule="auto"/>
        <w:jc w:val="left"/>
        <w:rPr>
          <w:rFonts w:ascii="宋体" w:hAnsi="宋体" w:cs="宋体"/>
          <w:b/>
          <w:bCs/>
          <w:color w:val="auto"/>
          <w:sz w:val="32"/>
          <w:szCs w:val="32"/>
          <w:highlight w:val="none"/>
        </w:rPr>
        <w:sectPr>
          <w:footerReference r:id="rId4" w:type="first"/>
          <w:footerReference r:id="rId3" w:type="default"/>
          <w:pgSz w:w="11905" w:h="16838"/>
          <w:pgMar w:top="1134" w:right="1134" w:bottom="1134" w:left="1134" w:header="850" w:footer="850" w:gutter="0"/>
          <w:cols w:space="0" w:num="1"/>
          <w:titlePg/>
          <w:docGrid w:linePitch="331" w:charSpace="0"/>
        </w:sectPr>
      </w:pPr>
    </w:p>
    <w:p w14:paraId="5CEE116D">
      <w:pPr>
        <w:pStyle w:val="3"/>
        <w:shd w:val="clear" w:color="auto" w:fill="FFFFFF" w:themeFill="background1"/>
        <w:jc w:val="center"/>
        <w:rPr>
          <w:rFonts w:ascii="宋体" w:hAnsi="宋体" w:eastAsia="宋体" w:cs="宋体"/>
          <w:color w:val="auto"/>
          <w:highlight w:val="none"/>
        </w:rPr>
      </w:pPr>
      <w:bookmarkStart w:id="111" w:name="_Toc29311"/>
      <w:bookmarkStart w:id="112" w:name="_Toc7784"/>
      <w:bookmarkStart w:id="113" w:name="_Toc25117"/>
      <w:bookmarkStart w:id="114" w:name="_Toc24313"/>
      <w:bookmarkStart w:id="115" w:name="_Toc11336"/>
      <w:bookmarkStart w:id="116" w:name="_Toc453"/>
      <w:bookmarkStart w:id="117" w:name="_Toc8807"/>
      <w:bookmarkStart w:id="118" w:name="_Toc1030"/>
      <w:bookmarkStart w:id="119" w:name="_Toc30841"/>
      <w:bookmarkStart w:id="120" w:name="_Toc13813"/>
      <w:r>
        <w:rPr>
          <w:rFonts w:hint="eastAsia" w:ascii="宋体" w:hAnsi="宋体" w:eastAsia="宋体" w:cs="宋体"/>
          <w:color w:val="auto"/>
          <w:highlight w:val="none"/>
        </w:rPr>
        <w:t>第二节 投标人须知正文</w:t>
      </w:r>
      <w:bookmarkEnd w:id="111"/>
      <w:bookmarkEnd w:id="112"/>
      <w:bookmarkEnd w:id="113"/>
      <w:bookmarkEnd w:id="114"/>
      <w:bookmarkEnd w:id="115"/>
      <w:bookmarkEnd w:id="116"/>
      <w:bookmarkEnd w:id="117"/>
      <w:bookmarkEnd w:id="118"/>
      <w:bookmarkEnd w:id="119"/>
      <w:bookmarkEnd w:id="120"/>
    </w:p>
    <w:p w14:paraId="6A6B27E0">
      <w:pPr>
        <w:pStyle w:val="4"/>
        <w:keepNext w:val="0"/>
        <w:keepLines w:val="0"/>
        <w:shd w:val="clear" w:color="auto" w:fill="FFFFFF" w:themeFill="background1"/>
        <w:spacing w:line="400" w:lineRule="exact"/>
        <w:jc w:val="center"/>
        <w:rPr>
          <w:rFonts w:ascii="宋体" w:hAnsi="宋体" w:cs="宋体"/>
          <w:color w:val="auto"/>
          <w:highlight w:val="none"/>
        </w:rPr>
      </w:pPr>
      <w:bookmarkStart w:id="121" w:name="_Toc22266"/>
      <w:bookmarkStart w:id="122" w:name="_Toc18594"/>
      <w:bookmarkStart w:id="123" w:name="_Toc21176"/>
      <w:bookmarkStart w:id="124" w:name="_Toc6594"/>
      <w:bookmarkStart w:id="125" w:name="_Toc19454"/>
      <w:bookmarkStart w:id="126" w:name="_Toc30794"/>
      <w:bookmarkStart w:id="127" w:name="_Toc15523"/>
      <w:bookmarkStart w:id="128" w:name="_Toc3607"/>
      <w:bookmarkStart w:id="129" w:name="_Toc28360"/>
      <w:bookmarkStart w:id="130" w:name="_Toc3522"/>
      <w:r>
        <w:rPr>
          <w:rFonts w:hint="eastAsia" w:ascii="宋体" w:hAnsi="宋体" w:cs="宋体"/>
          <w:color w:val="auto"/>
          <w:highlight w:val="none"/>
        </w:rPr>
        <w:t>一、总  则</w:t>
      </w:r>
      <w:bookmarkEnd w:id="121"/>
      <w:bookmarkEnd w:id="122"/>
      <w:bookmarkEnd w:id="123"/>
      <w:bookmarkEnd w:id="124"/>
      <w:bookmarkEnd w:id="125"/>
      <w:bookmarkEnd w:id="126"/>
      <w:bookmarkEnd w:id="127"/>
      <w:bookmarkEnd w:id="128"/>
      <w:bookmarkEnd w:id="129"/>
      <w:bookmarkEnd w:id="130"/>
    </w:p>
    <w:p w14:paraId="549A7169">
      <w:pPr>
        <w:shd w:val="clear" w:color="auto" w:fill="FFFFFF" w:themeFill="background1"/>
        <w:spacing w:line="360" w:lineRule="auto"/>
        <w:ind w:firstLine="480" w:firstLineChars="200"/>
        <w:rPr>
          <w:rFonts w:ascii="宋体" w:hAnsi="宋体" w:cs="宋体"/>
          <w:color w:val="auto"/>
          <w:sz w:val="24"/>
          <w:highlight w:val="none"/>
        </w:rPr>
      </w:pPr>
      <w:bookmarkStart w:id="131" w:name="_Toc254970527"/>
      <w:bookmarkStart w:id="132" w:name="_Toc254970668"/>
      <w:r>
        <w:rPr>
          <w:rFonts w:hint="eastAsia" w:ascii="宋体" w:hAnsi="宋体" w:cs="宋体"/>
          <w:color w:val="auto"/>
          <w:sz w:val="24"/>
          <w:highlight w:val="none"/>
        </w:rPr>
        <w:t>1.适用范围</w:t>
      </w:r>
      <w:bookmarkEnd w:id="131"/>
      <w:bookmarkEnd w:id="132"/>
    </w:p>
    <w:p w14:paraId="5F455137">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A75FB13">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6693304F">
      <w:pPr>
        <w:shd w:val="clear" w:color="auto" w:fill="FFFFFF" w:themeFill="background1"/>
        <w:spacing w:line="360" w:lineRule="auto"/>
        <w:ind w:firstLine="480" w:firstLineChars="200"/>
        <w:rPr>
          <w:rFonts w:ascii="宋体" w:hAnsi="宋体" w:cs="宋体"/>
          <w:color w:val="auto"/>
          <w:sz w:val="24"/>
          <w:highlight w:val="none"/>
        </w:rPr>
      </w:pPr>
      <w:bookmarkStart w:id="133" w:name="_Toc254970669"/>
      <w:bookmarkStart w:id="134" w:name="_Toc254970528"/>
      <w:r>
        <w:rPr>
          <w:rFonts w:hint="eastAsia" w:ascii="宋体" w:hAnsi="宋体" w:cs="宋体"/>
          <w:color w:val="auto"/>
          <w:sz w:val="24"/>
          <w:highlight w:val="none"/>
        </w:rPr>
        <w:t>2.定义</w:t>
      </w:r>
      <w:bookmarkEnd w:id="133"/>
      <w:bookmarkEnd w:id="134"/>
    </w:p>
    <w:p w14:paraId="1FF90096">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491B9571">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3D28E812">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321322C5">
      <w:pPr>
        <w:shd w:val="clear" w:color="auto" w:fill="FFFFFF" w:themeFill="background1"/>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2.4“投标人”是指响应招标、参加投标竞争的法人、非法人组织或者自然人。</w:t>
      </w:r>
    </w:p>
    <w:p w14:paraId="662CADDC">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34491AC4">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3CBE270B">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38F39207">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2D8CA35F">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3F1B47F0">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135" w:name="_Toc254970670"/>
      <w:bookmarkStart w:id="136" w:name="_Toc254970529"/>
    </w:p>
    <w:p w14:paraId="1BC5B734">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135"/>
      <w:bookmarkEnd w:id="136"/>
      <w:r>
        <w:rPr>
          <w:rFonts w:hint="eastAsia" w:ascii="宋体" w:hAnsi="宋体" w:cs="宋体"/>
          <w:color w:val="auto"/>
          <w:sz w:val="24"/>
          <w:highlight w:val="none"/>
        </w:rPr>
        <w:t>投标人的资格要求</w:t>
      </w:r>
    </w:p>
    <w:p w14:paraId="5B885BE1">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2844F2FC">
      <w:pPr>
        <w:shd w:val="clear" w:color="auto" w:fill="FFFFFF" w:themeFill="background1"/>
        <w:spacing w:line="360" w:lineRule="auto"/>
        <w:ind w:firstLine="480" w:firstLineChars="200"/>
        <w:rPr>
          <w:rFonts w:ascii="宋体" w:hAnsi="宋体" w:cs="宋体"/>
          <w:color w:val="auto"/>
          <w:sz w:val="24"/>
          <w:highlight w:val="none"/>
        </w:rPr>
      </w:pPr>
      <w:bookmarkStart w:id="137" w:name="_Toc254970530"/>
      <w:bookmarkStart w:id="138" w:name="_Toc254970671"/>
      <w:r>
        <w:rPr>
          <w:rFonts w:hint="eastAsia" w:ascii="宋体" w:hAnsi="宋体" w:cs="宋体"/>
          <w:color w:val="auto"/>
          <w:sz w:val="24"/>
          <w:highlight w:val="none"/>
        </w:rPr>
        <w:t>4.投标委托</w:t>
      </w:r>
      <w:bookmarkEnd w:id="137"/>
      <w:bookmarkEnd w:id="138"/>
    </w:p>
    <w:p w14:paraId="19EA4D87">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投标人代表参加投标活动过程中必须携带个人有效身份证件。如投标人代表不是法定代表人，须持有法定代表人授权委托书（按第六章要求格式填写）。</w:t>
      </w:r>
    </w:p>
    <w:p w14:paraId="3DCA788D">
      <w:pPr>
        <w:shd w:val="clear" w:color="auto" w:fill="FFFFFF" w:themeFill="background1"/>
        <w:spacing w:line="360" w:lineRule="auto"/>
        <w:ind w:firstLine="480" w:firstLineChars="200"/>
        <w:rPr>
          <w:rFonts w:ascii="宋体" w:hAnsi="宋体" w:cs="宋体"/>
          <w:color w:val="auto"/>
          <w:sz w:val="24"/>
          <w:highlight w:val="none"/>
        </w:rPr>
      </w:pPr>
      <w:bookmarkStart w:id="139" w:name="_5.投标费用"/>
      <w:bookmarkEnd w:id="139"/>
      <w:bookmarkStart w:id="140" w:name="_Toc254970531"/>
      <w:bookmarkStart w:id="141" w:name="_Toc254970672"/>
      <w:r>
        <w:rPr>
          <w:rFonts w:hint="eastAsia" w:ascii="宋体" w:hAnsi="宋体" w:cs="宋体"/>
          <w:color w:val="auto"/>
          <w:sz w:val="24"/>
          <w:highlight w:val="none"/>
        </w:rPr>
        <w:t>5.投标费用</w:t>
      </w:r>
      <w:bookmarkEnd w:id="140"/>
      <w:bookmarkEnd w:id="141"/>
    </w:p>
    <w:p w14:paraId="046FFD99">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697BBC72">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453C2E01">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05884C97">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7777A50D">
      <w:pPr>
        <w:shd w:val="clear" w:color="auto" w:fill="FFFFFF" w:themeFill="background1"/>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004E6A13">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4DB8308C">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 本项目不允许转包。</w:t>
      </w:r>
    </w:p>
    <w:p w14:paraId="43CE0232">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2B935432">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7.3根据《政府采购促进中小企业发展管理办法》（财库[2020]46号）第九条及</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52EEB158">
      <w:pPr>
        <w:shd w:val="clear" w:color="auto" w:fill="FFFFFF" w:themeFill="background1"/>
        <w:spacing w:line="360" w:lineRule="auto"/>
        <w:ind w:firstLine="480" w:firstLineChars="200"/>
        <w:rPr>
          <w:rFonts w:ascii="宋体" w:hAnsi="宋体" w:cs="宋体"/>
          <w:color w:val="auto"/>
          <w:sz w:val="24"/>
          <w:highlight w:val="none"/>
        </w:rPr>
      </w:pPr>
      <w:bookmarkStart w:id="142" w:name="_Toc254970532"/>
      <w:bookmarkStart w:id="143" w:name="_Toc254970673"/>
      <w:r>
        <w:rPr>
          <w:rFonts w:hint="eastAsia" w:ascii="宋体" w:hAnsi="宋体" w:cs="宋体"/>
          <w:color w:val="auto"/>
          <w:sz w:val="24"/>
          <w:highlight w:val="none"/>
        </w:rPr>
        <w:t>8.特别说明：</w:t>
      </w:r>
      <w:bookmarkEnd w:id="142"/>
      <w:bookmarkEnd w:id="143"/>
      <w:bookmarkStart w:id="144" w:name="_8.1提供相同品牌产品且通过资格审查、符合性审查的不同投标人参加同一合"/>
      <w:bookmarkEnd w:id="144"/>
    </w:p>
    <w:p w14:paraId="42ABD88E">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8.1如果本招标文件要求投标人提供资格、信誉、荣誉、业绩与企业认证等材料的，则投标人所提供的以上材料必须为该投标人所拥有。</w:t>
      </w:r>
    </w:p>
    <w:p w14:paraId="735DA03C">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0849A314">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28378C65">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218E566D">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65A807F5">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5B0B5BEF">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6F470B05">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3BC5E3C2">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6AA0410C">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0124A288">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A7A431E">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36435336">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w:t>
      </w:r>
    </w:p>
    <w:p w14:paraId="52DA7159">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699D4D30">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063DC335">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（4）不同投标人的电子投标文件异常一致或者投标报价呈规律性差异；</w:t>
      </w:r>
    </w:p>
    <w:p w14:paraId="24F5C926">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（5）不同投标人的投标文件相互混装；</w:t>
      </w:r>
    </w:p>
    <w:p w14:paraId="103C2830">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（6）不同投标人的投标保证金从同一单位或者个人账户转出。</w:t>
      </w:r>
    </w:p>
    <w:p w14:paraId="62374F01">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0C6F8E5B">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w:t>
      </w:r>
    </w:p>
    <w:p w14:paraId="03E9F24A">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w:t>
      </w:r>
    </w:p>
    <w:p w14:paraId="640AA5B4">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（3）供应商之间协商报价、技术方案等投标文件的实质性内容；</w:t>
      </w:r>
    </w:p>
    <w:p w14:paraId="5B8D61E2">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68D22D6A">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191D6A30">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74F6D2D2">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387FBFD2">
      <w:pPr>
        <w:pStyle w:val="13"/>
        <w:shd w:val="clear" w:color="auto" w:fill="FFFFFF" w:themeFill="background1"/>
        <w:snapToGrid w:val="0"/>
        <w:spacing w:line="360" w:lineRule="auto"/>
        <w:ind w:left="2" w:leftChars="1" w:firstLine="422" w:firstLineChars="200"/>
        <w:rPr>
          <w:rFonts w:hAnsi="宋体" w:cs="宋体"/>
          <w:b/>
          <w:color w:val="auto"/>
          <w:highlight w:val="none"/>
        </w:rPr>
      </w:pPr>
    </w:p>
    <w:p w14:paraId="7D151778">
      <w:pPr>
        <w:pStyle w:val="4"/>
        <w:keepNext w:val="0"/>
        <w:keepLines w:val="0"/>
        <w:shd w:val="clear" w:color="auto" w:fill="FFFFFF" w:themeFill="background1"/>
        <w:spacing w:line="400" w:lineRule="exact"/>
        <w:jc w:val="center"/>
        <w:rPr>
          <w:rFonts w:ascii="宋体" w:hAnsi="宋体" w:cs="宋体"/>
          <w:color w:val="auto"/>
          <w:highlight w:val="none"/>
        </w:rPr>
      </w:pPr>
      <w:bookmarkStart w:id="145" w:name="_Toc254970534"/>
      <w:bookmarkStart w:id="146" w:name="_Toc11054"/>
      <w:bookmarkStart w:id="147" w:name="_Toc17855"/>
      <w:bookmarkStart w:id="148" w:name="_Toc10320"/>
      <w:bookmarkStart w:id="149" w:name="_Toc128"/>
      <w:bookmarkStart w:id="150" w:name="_Toc254970675"/>
      <w:bookmarkStart w:id="151" w:name="_Toc9988"/>
      <w:bookmarkStart w:id="152" w:name="_Toc25104"/>
      <w:bookmarkStart w:id="153" w:name="_Toc22911"/>
      <w:bookmarkStart w:id="154" w:name="_Toc6920"/>
      <w:bookmarkStart w:id="155" w:name="_Toc18580"/>
      <w:bookmarkStart w:id="156" w:name="_Toc19016"/>
      <w:r>
        <w:rPr>
          <w:rFonts w:hint="eastAsia" w:ascii="宋体" w:hAnsi="宋体" w:cs="宋体"/>
          <w:color w:val="auto"/>
          <w:highlight w:val="none"/>
        </w:rPr>
        <w:t>二、招标文件</w:t>
      </w:r>
      <w:bookmarkEnd w:id="145"/>
      <w:bookmarkEnd w:id="146"/>
      <w:bookmarkEnd w:id="147"/>
      <w:bookmarkEnd w:id="148"/>
      <w:bookmarkEnd w:id="149"/>
      <w:bookmarkEnd w:id="150"/>
      <w:bookmarkEnd w:id="151"/>
      <w:bookmarkEnd w:id="152"/>
      <w:bookmarkEnd w:id="153"/>
      <w:bookmarkEnd w:id="154"/>
      <w:bookmarkEnd w:id="155"/>
      <w:bookmarkEnd w:id="156"/>
    </w:p>
    <w:p w14:paraId="4E71DFAD">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30B991AE">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33B74A07">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18B87952">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5AF5E64C">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评标方法和评标标准；</w:t>
      </w:r>
    </w:p>
    <w:p w14:paraId="38AC2937">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0A61D931">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08E1526F">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1FA585B5">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根据本章第11.1项的规定对招标文件所做的澄清、修改，构成招标文件的组成部分。当招标文件与招标文件的澄清和修改就同一内容的表述不一致时，以最后澄清或修改公告为准。</w:t>
      </w:r>
    </w:p>
    <w:p w14:paraId="553D7177">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6642F7B5">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77500E2D">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1B9AE1AD">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60E77981">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02DCE751">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157"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57"/>
    <w:p w14:paraId="6E0D0ED1">
      <w:pPr>
        <w:pStyle w:val="4"/>
        <w:keepNext w:val="0"/>
        <w:keepLines w:val="0"/>
        <w:shd w:val="clear" w:color="auto" w:fill="FFFFFF" w:themeFill="background1"/>
        <w:spacing w:line="400" w:lineRule="exact"/>
        <w:jc w:val="center"/>
        <w:rPr>
          <w:rFonts w:ascii="宋体" w:hAnsi="宋体" w:cs="宋体"/>
          <w:color w:val="auto"/>
          <w:highlight w:val="none"/>
        </w:rPr>
      </w:pPr>
      <w:bookmarkStart w:id="158" w:name="_Toc12080"/>
      <w:bookmarkStart w:id="159" w:name="_Toc32154"/>
      <w:bookmarkStart w:id="160" w:name="_Toc16623"/>
      <w:bookmarkStart w:id="161" w:name="_Toc7841"/>
      <w:bookmarkStart w:id="162" w:name="_Toc254970676"/>
      <w:bookmarkStart w:id="163" w:name="_Toc27367"/>
      <w:bookmarkStart w:id="164" w:name="_Toc254970535"/>
      <w:bookmarkStart w:id="165" w:name="_Toc28419"/>
      <w:bookmarkStart w:id="166" w:name="_Toc20"/>
      <w:bookmarkStart w:id="167" w:name="_Toc24872"/>
      <w:bookmarkStart w:id="168" w:name="_Toc2635"/>
      <w:bookmarkStart w:id="169" w:name="_Toc32499"/>
    </w:p>
    <w:p w14:paraId="7043D454">
      <w:pPr>
        <w:pStyle w:val="4"/>
        <w:keepNext w:val="0"/>
        <w:keepLines w:val="0"/>
        <w:shd w:val="clear" w:color="auto" w:fill="FFFFFF" w:themeFill="background1"/>
        <w:spacing w:line="400" w:lineRule="exact"/>
        <w:jc w:val="center"/>
        <w:rPr>
          <w:rFonts w:ascii="宋体" w:hAnsi="宋体" w:cs="宋体"/>
          <w:color w:val="auto"/>
          <w:highlight w:val="none"/>
        </w:rPr>
      </w:pPr>
      <w:r>
        <w:rPr>
          <w:rFonts w:hint="eastAsia" w:ascii="宋体" w:hAnsi="宋体" w:cs="宋体"/>
          <w:color w:val="auto"/>
          <w:highlight w:val="none"/>
        </w:rPr>
        <w:t>三、投标文件的编制</w:t>
      </w:r>
      <w:bookmarkEnd w:id="158"/>
      <w:bookmarkEnd w:id="159"/>
      <w:bookmarkEnd w:id="160"/>
      <w:bookmarkEnd w:id="161"/>
      <w:bookmarkEnd w:id="162"/>
      <w:bookmarkEnd w:id="163"/>
      <w:bookmarkEnd w:id="164"/>
      <w:bookmarkEnd w:id="165"/>
      <w:bookmarkEnd w:id="166"/>
      <w:bookmarkEnd w:id="167"/>
      <w:bookmarkEnd w:id="168"/>
      <w:bookmarkEnd w:id="169"/>
    </w:p>
    <w:p w14:paraId="09FB5A23">
      <w:pPr>
        <w:shd w:val="clear" w:color="auto" w:fill="FFFFFF" w:themeFill="background1"/>
        <w:spacing w:line="360" w:lineRule="auto"/>
        <w:ind w:firstLine="480" w:firstLineChars="200"/>
        <w:rPr>
          <w:rFonts w:ascii="宋体" w:hAnsi="宋体" w:cs="宋体"/>
          <w:color w:val="auto"/>
          <w:sz w:val="24"/>
          <w:highlight w:val="none"/>
        </w:rPr>
      </w:pPr>
      <w:bookmarkStart w:id="170" w:name="_Toc254970677"/>
      <w:bookmarkStart w:id="171" w:name="_Toc254970536"/>
      <w:r>
        <w:rPr>
          <w:rFonts w:hint="eastAsia" w:ascii="宋体" w:hAnsi="宋体" w:cs="宋体"/>
          <w:color w:val="auto"/>
          <w:sz w:val="24"/>
          <w:highlight w:val="none"/>
        </w:rPr>
        <w:t>12.投标文件的编制原则</w:t>
      </w:r>
    </w:p>
    <w:p w14:paraId="5EDD4306">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29A1DF29">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170"/>
      <w:bookmarkEnd w:id="171"/>
    </w:p>
    <w:p w14:paraId="0067E4B7">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7534E4CC">
      <w:pPr>
        <w:shd w:val="clear" w:color="auto" w:fill="FFFFFF" w:themeFill="background1"/>
        <w:spacing w:line="360" w:lineRule="auto"/>
        <w:ind w:firstLine="420" w:firstLineChars="200"/>
        <w:rPr>
          <w:rFonts w:ascii="宋体" w:hAnsi="宋体" w:cs="宋体"/>
          <w:bCs/>
          <w:color w:val="auto"/>
          <w:szCs w:val="21"/>
          <w:highlight w:val="none"/>
        </w:rPr>
      </w:pPr>
      <w:bookmarkStart w:id="172" w:name="_13.1报价文件:_具体材料见“投标人须知前附表”。"/>
      <w:bookmarkEnd w:id="172"/>
      <w:bookmarkStart w:id="173" w:name="_13.2资格证明文件：具体材料见“投标人须知前附表”。"/>
      <w:bookmarkEnd w:id="173"/>
      <w:r>
        <w:rPr>
          <w:rFonts w:hint="eastAsia" w:ascii="宋体" w:hAnsi="宋体" w:cs="宋体"/>
          <w:bCs/>
          <w:color w:val="auto"/>
          <w:szCs w:val="21"/>
          <w:highlight w:val="none"/>
        </w:rPr>
        <w:t>（1）资格证明文件：具体材料见“投标人须知前附表”。</w:t>
      </w:r>
    </w:p>
    <w:p w14:paraId="4BEC508F">
      <w:pPr>
        <w:shd w:val="clear" w:color="auto" w:fill="FFFFFF" w:themeFill="background1"/>
        <w:spacing w:line="360" w:lineRule="auto"/>
        <w:ind w:firstLine="420" w:firstLineChars="200"/>
        <w:rPr>
          <w:rFonts w:ascii="宋体" w:hAnsi="宋体" w:cs="宋体"/>
          <w:bCs/>
          <w:color w:val="auto"/>
          <w:szCs w:val="21"/>
          <w:highlight w:val="none"/>
        </w:rPr>
      </w:pPr>
      <w:bookmarkStart w:id="174" w:name="_13.3商务文件:_具体材料见“投标人须知前附表”。"/>
      <w:bookmarkEnd w:id="174"/>
      <w:r>
        <w:rPr>
          <w:rFonts w:hint="eastAsia" w:ascii="宋体" w:hAnsi="宋体" w:cs="宋体"/>
          <w:bCs/>
          <w:color w:val="auto"/>
          <w:szCs w:val="21"/>
          <w:highlight w:val="none"/>
        </w:rPr>
        <w:t>（2）商务文件：具体材料见“投标人须知前附表”。</w:t>
      </w:r>
    </w:p>
    <w:p w14:paraId="0BF6D0BA">
      <w:pPr>
        <w:shd w:val="clear" w:color="auto" w:fill="FFFFFF" w:themeFill="background1"/>
        <w:spacing w:line="360" w:lineRule="auto"/>
        <w:ind w:firstLine="420" w:firstLineChars="200"/>
        <w:rPr>
          <w:rFonts w:ascii="宋体" w:hAnsi="宋体" w:cs="宋体"/>
          <w:bCs/>
          <w:color w:val="auto"/>
          <w:szCs w:val="21"/>
          <w:highlight w:val="none"/>
        </w:rPr>
      </w:pPr>
      <w:bookmarkStart w:id="175" w:name="_13.4技术文件：具体材料见“投标人须知前附表”。"/>
      <w:bookmarkEnd w:id="175"/>
      <w:r>
        <w:rPr>
          <w:rFonts w:hint="eastAsia" w:ascii="宋体" w:hAnsi="宋体" w:cs="宋体"/>
          <w:bCs/>
          <w:color w:val="auto"/>
          <w:szCs w:val="21"/>
          <w:highlight w:val="none"/>
        </w:rPr>
        <w:t xml:space="preserve">（3）技术文件：具体材料见“投标人须知前附表”。 </w:t>
      </w:r>
    </w:p>
    <w:p w14:paraId="5454C01C">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180AA989">
      <w:pPr>
        <w:shd w:val="clear" w:color="auto" w:fill="FFFFFF" w:themeFill="background1"/>
        <w:spacing w:line="360" w:lineRule="auto"/>
        <w:ind w:firstLine="420" w:firstLineChars="200"/>
        <w:rPr>
          <w:rFonts w:ascii="宋体" w:hAnsi="宋体" w:cs="宋体"/>
          <w:bCs/>
          <w:color w:val="auto"/>
          <w:szCs w:val="21"/>
          <w:highlight w:val="none"/>
        </w:rPr>
      </w:pPr>
      <w:bookmarkStart w:id="176" w:name="_13.5投标文件电子版：具体材料见“投标人须知前附表”。"/>
      <w:bookmarkEnd w:id="176"/>
      <w:r>
        <w:rPr>
          <w:rFonts w:hint="eastAsia" w:ascii="宋体" w:hAnsi="宋体" w:cs="宋体"/>
          <w:bCs/>
          <w:color w:val="auto"/>
          <w:szCs w:val="21"/>
          <w:highlight w:val="none"/>
        </w:rPr>
        <w:t>13.2投标文件电子版：具体要求见本节19.投标文件编制。</w:t>
      </w:r>
    </w:p>
    <w:p w14:paraId="17EB649C">
      <w:pPr>
        <w:shd w:val="clear" w:color="auto" w:fill="FFFFFF" w:themeFill="background1"/>
        <w:spacing w:line="360" w:lineRule="auto"/>
        <w:ind w:firstLine="480" w:firstLineChars="200"/>
        <w:rPr>
          <w:rFonts w:ascii="宋体" w:hAnsi="宋体" w:cs="宋体"/>
          <w:color w:val="auto"/>
          <w:sz w:val="24"/>
          <w:highlight w:val="none"/>
        </w:rPr>
      </w:pPr>
      <w:bookmarkStart w:id="177" w:name="_Toc254970678"/>
      <w:bookmarkStart w:id="178" w:name="_Toc254970537"/>
      <w:r>
        <w:rPr>
          <w:rFonts w:hint="eastAsia" w:ascii="宋体" w:hAnsi="宋体" w:cs="宋体"/>
          <w:color w:val="auto"/>
          <w:sz w:val="24"/>
          <w:highlight w:val="none"/>
        </w:rPr>
        <w:t>14.投标文件的语言及计量</w:t>
      </w:r>
      <w:bookmarkEnd w:id="177"/>
      <w:bookmarkEnd w:id="178"/>
    </w:p>
    <w:p w14:paraId="377D9398">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68E19083">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FD25926">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4135A5DE">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66F1EFB6">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w:t>
      </w:r>
      <w:r>
        <w:rPr>
          <w:rFonts w:hint="eastAsia" w:ascii="黑体" w:hAnsi="黑体" w:eastAsia="黑体"/>
          <w:color w:val="auto"/>
          <w:sz w:val="24"/>
          <w:highlight w:val="none"/>
        </w:rPr>
        <w:t>投标文件提交的风险</w:t>
      </w:r>
    </w:p>
    <w:p w14:paraId="41215B4C">
      <w:pPr>
        <w:shd w:val="clear" w:color="auto" w:fill="FFFFFF" w:themeFill="background1"/>
        <w:spacing w:line="360" w:lineRule="auto"/>
        <w:ind w:firstLine="420" w:firstLineChars="200"/>
        <w:rPr>
          <w:rFonts w:ascii="宋体" w:hAnsi="宋体" w:cs="宋体"/>
          <w:b/>
          <w:bCs/>
          <w:color w:val="auto"/>
          <w:highlight w:val="none"/>
        </w:rPr>
      </w:pPr>
      <w:r>
        <w:rPr>
          <w:rFonts w:hint="eastAsia" w:hAnsi="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560563B8">
      <w:pPr>
        <w:shd w:val="clear" w:color="auto" w:fill="FFFFFF" w:themeFill="background1"/>
        <w:spacing w:line="360" w:lineRule="auto"/>
        <w:ind w:firstLine="480" w:firstLineChars="200"/>
        <w:rPr>
          <w:rFonts w:ascii="宋体" w:hAnsi="宋体" w:cs="宋体"/>
          <w:color w:val="auto"/>
          <w:sz w:val="24"/>
          <w:highlight w:val="none"/>
        </w:rPr>
      </w:pPr>
      <w:bookmarkStart w:id="179" w:name="_Toc254970538"/>
      <w:bookmarkStart w:id="180" w:name="_Toc254970679"/>
      <w:r>
        <w:rPr>
          <w:rFonts w:hint="eastAsia" w:ascii="宋体" w:hAnsi="宋体" w:cs="宋体"/>
          <w:color w:val="auto"/>
          <w:sz w:val="24"/>
          <w:highlight w:val="none"/>
        </w:rPr>
        <w:t>16.投标报价</w:t>
      </w:r>
      <w:bookmarkEnd w:id="179"/>
      <w:bookmarkEnd w:id="180"/>
    </w:p>
    <w:p w14:paraId="4C115CAA">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1613DB08">
      <w:pPr>
        <w:shd w:val="clear" w:color="auto" w:fill="FFFFFF" w:themeFill="background1"/>
        <w:spacing w:line="360" w:lineRule="auto"/>
        <w:ind w:firstLine="420" w:firstLineChars="200"/>
        <w:rPr>
          <w:rFonts w:ascii="宋体" w:hAnsi="宋体" w:cs="宋体"/>
          <w:bCs/>
          <w:color w:val="auto"/>
          <w:szCs w:val="21"/>
          <w:highlight w:val="none"/>
        </w:rPr>
      </w:pPr>
      <w:bookmarkStart w:id="181" w:name="_16.2投标报价具体定义见投标人须知前附表。"/>
      <w:bookmarkEnd w:id="181"/>
      <w:r>
        <w:rPr>
          <w:rFonts w:hint="eastAsia" w:ascii="宋体" w:hAnsi="宋体" w:cs="宋体"/>
          <w:bCs/>
          <w:color w:val="auto"/>
          <w:szCs w:val="21"/>
          <w:highlight w:val="none"/>
        </w:rPr>
        <w:t>16.2投标报价具体包括内容详见“投标人须知前附表”。</w:t>
      </w:r>
    </w:p>
    <w:p w14:paraId="6F70333A">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16.3投标人必须就所投项目/每个分标的全部内容分别作完整唯一总价报价，不得存在漏项报价；投标人必须就所投项目/分标的单项内容作唯一报价。</w:t>
      </w:r>
    </w:p>
    <w:p w14:paraId="790D75D2">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732F28A0">
      <w:pPr>
        <w:shd w:val="clear" w:color="auto" w:fill="FFFFFF" w:themeFill="background1"/>
        <w:spacing w:line="360" w:lineRule="auto"/>
        <w:ind w:firstLine="420" w:firstLineChars="200"/>
        <w:rPr>
          <w:rFonts w:ascii="宋体" w:hAnsi="宋体" w:cs="宋体"/>
          <w:bCs/>
          <w:color w:val="auto"/>
          <w:szCs w:val="21"/>
          <w:highlight w:val="none"/>
        </w:rPr>
      </w:pPr>
      <w:bookmarkStart w:id="182" w:name="_17.1投标有效期应按“投标人须知中的前附表”规定的期限。"/>
      <w:bookmarkEnd w:id="182"/>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0A225E2F">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183" w:name="_Toc254970681"/>
      <w:bookmarkStart w:id="184" w:name="_Toc254970540"/>
      <w:r>
        <w:rPr>
          <w:rFonts w:hint="eastAsia" w:ascii="宋体" w:hAnsi="宋体" w:cs="宋体"/>
          <w:bCs/>
          <w:color w:val="auto"/>
          <w:szCs w:val="21"/>
          <w:highlight w:val="none"/>
        </w:rPr>
        <w:t xml:space="preserve"> 投标有效期应按规定的期限作出承诺，具体详见“投标人须知前附表”。</w:t>
      </w:r>
    </w:p>
    <w:p w14:paraId="74726DF3">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183"/>
      <w:bookmarkEnd w:id="184"/>
    </w:p>
    <w:p w14:paraId="0C7A2132">
      <w:pPr>
        <w:shd w:val="clear" w:color="auto" w:fill="FFFFFF" w:themeFill="background1"/>
        <w:spacing w:line="360" w:lineRule="auto"/>
        <w:ind w:firstLine="480" w:firstLineChars="200"/>
        <w:rPr>
          <w:rFonts w:ascii="宋体" w:hAnsi="宋体" w:cs="宋体"/>
          <w:color w:val="auto"/>
          <w:sz w:val="24"/>
          <w:highlight w:val="none"/>
        </w:rPr>
      </w:pPr>
      <w:bookmarkStart w:id="185" w:name="_18.投标保证金"/>
      <w:bookmarkEnd w:id="185"/>
      <w:bookmarkStart w:id="186" w:name="_Toc254970541"/>
      <w:bookmarkStart w:id="187" w:name="_Toc254970682"/>
      <w:r>
        <w:rPr>
          <w:rFonts w:hint="eastAsia" w:ascii="宋体" w:hAnsi="宋体" w:cs="宋体"/>
          <w:color w:val="auto"/>
          <w:sz w:val="24"/>
          <w:highlight w:val="none"/>
        </w:rPr>
        <w:t>18.投标保证金</w:t>
      </w:r>
      <w:bookmarkEnd w:id="186"/>
      <w:bookmarkEnd w:id="187"/>
    </w:p>
    <w:p w14:paraId="3EE3BB1B">
      <w:pPr>
        <w:pStyle w:val="6"/>
        <w:keepNext w:val="0"/>
        <w:keepLines w:val="0"/>
        <w:shd w:val="clear" w:color="auto" w:fill="FFFFFF" w:themeFill="background1"/>
        <w:spacing w:before="0" w:after="0" w:line="360" w:lineRule="auto"/>
        <w:ind w:left="420" w:leftChars="200"/>
        <w:rPr>
          <w:rFonts w:ascii="宋体" w:hAnsi="宋体" w:cs="宋体"/>
          <w:b w:val="0"/>
          <w:color w:val="auto"/>
          <w:sz w:val="21"/>
          <w:szCs w:val="21"/>
          <w:highlight w:val="none"/>
        </w:rPr>
      </w:pPr>
      <w:bookmarkStart w:id="188" w:name="_Toc254970542"/>
      <w:bookmarkStart w:id="189" w:name="_Toc254970683"/>
      <w:r>
        <w:rPr>
          <w:rFonts w:hint="eastAsia" w:ascii="宋体" w:hAnsi="宋体" w:cs="宋体"/>
          <w:b w:val="0"/>
          <w:color w:val="auto"/>
          <w:sz w:val="21"/>
          <w:szCs w:val="21"/>
          <w:highlight w:val="none"/>
        </w:rPr>
        <w:t>18.1投标人须按“投标人须知前附表” 的规定提交投标保证金。</w:t>
      </w:r>
    </w:p>
    <w:p w14:paraId="057D659D">
      <w:pPr>
        <w:pStyle w:val="6"/>
        <w:keepNext w:val="0"/>
        <w:keepLines w:val="0"/>
        <w:shd w:val="clear" w:color="auto" w:fill="FFFFFF" w:themeFill="background1"/>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190E1738">
      <w:pPr>
        <w:pStyle w:val="6"/>
        <w:keepNext w:val="0"/>
        <w:keepLines w:val="0"/>
        <w:shd w:val="clear" w:color="auto" w:fill="FFFFFF" w:themeFill="background1"/>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18.2.1未中标人的投标保证金自中标通知书发出之日起5个工作日内退还，退还方式如下：</w:t>
      </w:r>
    </w:p>
    <w:p w14:paraId="686B22BE">
      <w:pPr>
        <w:pStyle w:val="6"/>
        <w:keepNext w:val="0"/>
        <w:keepLines w:val="0"/>
        <w:shd w:val="clear" w:color="auto" w:fill="FFFFFF" w:themeFill="background1"/>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（1）采用银行转账方式的，以转账方式退回到投标人银行账户。</w:t>
      </w:r>
    </w:p>
    <w:p w14:paraId="6BD382E4">
      <w:pPr>
        <w:pStyle w:val="7"/>
        <w:shd w:val="clear" w:color="auto" w:fill="FFFFFF" w:themeFill="background1"/>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（2）采用支票、汇票、本票或者金融机构、担保机构出具的保函等方式的，由投标人代表持相关授权证明材料至采购代理机构办理支票、汇票、本票或者金融机构、担保机构出具的保函等原件退还手续。 </w:t>
      </w:r>
    </w:p>
    <w:p w14:paraId="3E7218A8">
      <w:pPr>
        <w:pStyle w:val="6"/>
        <w:keepNext w:val="0"/>
        <w:keepLines w:val="0"/>
        <w:shd w:val="clear" w:color="auto" w:fill="FFFFFF" w:themeFill="background1"/>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18.2.2中标人的投标保证金自采购合同签订之日起5个工作日内退还，退还方式同本须知正文第18.2.1，或者转为中标人的履约保证金。 </w:t>
      </w:r>
    </w:p>
    <w:p w14:paraId="1858ABF8">
      <w:pPr>
        <w:pStyle w:val="6"/>
        <w:keepNext w:val="0"/>
        <w:keepLines w:val="0"/>
        <w:shd w:val="clear" w:color="auto" w:fill="FFFFFF" w:themeFill="background1"/>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444A3D6E">
      <w:pPr>
        <w:pStyle w:val="6"/>
        <w:keepNext w:val="0"/>
        <w:keepLines w:val="0"/>
        <w:shd w:val="clear" w:color="auto" w:fill="FFFFFF" w:themeFill="background1"/>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14:paraId="04EE93AC">
      <w:pPr>
        <w:shd w:val="clear" w:color="auto" w:fill="FFFFFF" w:themeFill="background1"/>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1089E3BE">
      <w:pPr>
        <w:shd w:val="clear" w:color="auto" w:fill="FFFFFF" w:themeFill="background1"/>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1B5EBA9B">
      <w:pPr>
        <w:shd w:val="clear" w:color="auto" w:fill="FFFFFF" w:themeFill="background1"/>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35693A81">
      <w:pPr>
        <w:shd w:val="clear" w:color="auto" w:fill="FFFFFF" w:themeFill="background1"/>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0CA33CB5">
      <w:pPr>
        <w:shd w:val="clear" w:color="auto" w:fill="FFFFFF" w:themeFill="background1"/>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52B5C8E9">
      <w:pPr>
        <w:shd w:val="clear" w:color="auto" w:fill="FFFFFF" w:themeFill="background1"/>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（6）其他严重扰乱招投标程序的。</w:t>
      </w:r>
    </w:p>
    <w:p w14:paraId="4EE6F9B3">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188"/>
      <w:bookmarkEnd w:id="189"/>
      <w:r>
        <w:rPr>
          <w:rFonts w:hint="eastAsia" w:ascii="宋体" w:hAnsi="宋体" w:cs="宋体"/>
          <w:color w:val="auto"/>
          <w:sz w:val="24"/>
          <w:highlight w:val="none"/>
        </w:rPr>
        <w:t>编制</w:t>
      </w:r>
    </w:p>
    <w:p w14:paraId="374CBFE6">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90" w:name="_19.2投标文件应按报价文件、资格证明文件、商务文件、技术文件分别编制"/>
      <w:bookmarkEnd w:id="190"/>
      <w:r>
        <w:rPr>
          <w:rFonts w:hint="eastAsia" w:ascii="宋体" w:hAnsi="宋体" w:cs="宋体"/>
          <w:color w:val="auto"/>
          <w:szCs w:val="21"/>
          <w:highlight w:val="none"/>
        </w:rPr>
        <w:t xml:space="preserve"> </w:t>
      </w:r>
    </w:p>
    <w:p w14:paraId="6F659900">
      <w:pPr>
        <w:pStyle w:val="36"/>
        <w:shd w:val="clear" w:color="auto" w:fill="FFFFFF" w:themeFill="background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cs="宋体"/>
          <w:b/>
          <w:color w:val="auto"/>
          <w:sz w:val="21"/>
          <w:szCs w:val="21"/>
          <w:highlight w:val="none"/>
        </w:rPr>
        <w:t>其投标无效。</w:t>
      </w:r>
    </w:p>
    <w:p w14:paraId="15BDD1F9">
      <w:pPr>
        <w:pStyle w:val="36"/>
        <w:shd w:val="clear" w:color="auto" w:fill="FFFFFF" w:themeFill="background1"/>
        <w:snapToGrid w:val="0"/>
        <w:spacing w:before="0"/>
        <w:ind w:firstLine="420"/>
        <w:rPr>
          <w:rFonts w:ascii="宋体" w:hAnsi="宋体" w:cs="宋体"/>
          <w:color w:val="auto"/>
          <w:sz w:val="21"/>
          <w:szCs w:val="21"/>
          <w:highlight w:val="none"/>
        </w:rPr>
      </w:pPr>
    </w:p>
    <w:p w14:paraId="26F5BD75">
      <w:pPr>
        <w:pStyle w:val="36"/>
        <w:shd w:val="clear" w:color="auto" w:fill="FFFFFF" w:themeFill="background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324C3A1B">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1C00384C">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p>
    <w:p w14:paraId="39010EDC">
      <w:pPr>
        <w:shd w:val="clear" w:color="auto" w:fill="FFFFFF" w:themeFill="background1"/>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2826A2F9">
      <w:pPr>
        <w:shd w:val="clear" w:color="auto" w:fill="FFFFFF" w:themeFill="background1"/>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19.7本项目为全流程电子化项目，异常情况见“第二节 投标人须知正文”中“四、24.2开标程序。</w:t>
      </w:r>
    </w:p>
    <w:p w14:paraId="7CDADCE8">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27E53DFF">
      <w:pPr>
        <w:shd w:val="clear" w:color="auto" w:fill="FFFFFF" w:themeFill="background1"/>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详见在“投标人须知前附表”。</w:t>
      </w:r>
    </w:p>
    <w:p w14:paraId="7B4DDC98">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0F92B2F9">
      <w:pPr>
        <w:shd w:val="clear" w:color="auto" w:fill="FFFFFF" w:themeFill="background1"/>
        <w:spacing w:line="360" w:lineRule="auto"/>
        <w:ind w:firstLine="420" w:firstLineChars="200"/>
        <w:rPr>
          <w:rFonts w:hAnsi="宋体"/>
          <w:b/>
          <w:color w:val="auto"/>
          <w:highlight w:val="none"/>
        </w:rPr>
      </w:pPr>
      <w:bookmarkStart w:id="191" w:name="_21.1投标人必须在“投标人须知中的前附表”规定的投标文件接收时间和投"/>
      <w:bookmarkEnd w:id="191"/>
      <w:r>
        <w:rPr>
          <w:rFonts w:hint="eastAsia" w:ascii="宋体" w:hAnsi="宋体" w:cs="宋体"/>
          <w:bCs/>
          <w:color w:val="auto"/>
          <w:szCs w:val="21"/>
          <w:highlight w:val="none"/>
        </w:rPr>
        <w:t>21.1</w:t>
      </w:r>
      <w:r>
        <w:rPr>
          <w:rFonts w:hint="eastAsia" w:hAnsi="宋体"/>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hAnsi="宋体"/>
          <w:bCs/>
          <w:color w:val="auto"/>
          <w:szCs w:val="21"/>
          <w:highlight w:val="none"/>
        </w:rPr>
        <w:t>CA</w:t>
      </w:r>
      <w:r>
        <w:rPr>
          <w:rFonts w:hint="eastAsia" w:hAnsi="宋体"/>
          <w:bCs/>
          <w:color w:val="auto"/>
          <w:szCs w:val="21"/>
          <w:highlight w:val="none"/>
        </w:rPr>
        <w:t>认证锁）进行电子签章、加密，然后通过网络将加密的电子投标文件递交至广西政府采购云平台。</w:t>
      </w:r>
      <w:r>
        <w:rPr>
          <w:rFonts w:hAnsi="宋体"/>
          <w:bCs/>
          <w:color w:val="auto"/>
          <w:szCs w:val="21"/>
          <w:highlight w:val="none"/>
        </w:rPr>
        <w:t xml:space="preserve"> </w:t>
      </w:r>
      <w:r>
        <w:rPr>
          <w:rFonts w:hAnsi="宋体"/>
          <w:b/>
          <w:color w:val="auto"/>
          <w:highlight w:val="none"/>
        </w:rPr>
        <w:t xml:space="preserve"> </w:t>
      </w:r>
    </w:p>
    <w:p w14:paraId="5B1DA21A">
      <w:pPr>
        <w:shd w:val="clear" w:color="auto" w:fill="FFFFFF" w:themeFill="background1"/>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21.2未在规定时间内提交或者未按照招标文件要求密封或者标记的电子投标文件，广西政府采购云平台将拒收。</w:t>
      </w:r>
    </w:p>
    <w:p w14:paraId="2DF739DF">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21.3电子版投标文件提交方式见“招标公告”。</w:t>
      </w:r>
    </w:p>
    <w:p w14:paraId="297CB294">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w:t>
      </w:r>
      <w:bookmarkStart w:id="192" w:name="_Toc254970543"/>
      <w:bookmarkStart w:id="193" w:name="_Toc254970684"/>
    </w:p>
    <w:p w14:paraId="36AA058B">
      <w:pPr>
        <w:shd w:val="clear" w:color="auto" w:fill="FFFFFF" w:themeFill="background1"/>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14:paraId="3AECEFFE">
      <w:pPr>
        <w:pStyle w:val="36"/>
        <w:shd w:val="clear" w:color="auto" w:fill="FFFFFF" w:themeFill="background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22.2广西政府采购云平台收到投标文件，将妥善保存并即时向投标人发出确认回执通知。在投标截止时间前，除投标人补充、修改或者撤回投标文件外，任何单位和个人不得解密或提取投标文件。</w:t>
      </w:r>
    </w:p>
    <w:bookmarkEnd w:id="192"/>
    <w:bookmarkEnd w:id="193"/>
    <w:p w14:paraId="482AEAC8">
      <w:pPr>
        <w:pStyle w:val="11"/>
        <w:shd w:val="clear" w:color="auto" w:fill="FFFFFF" w:themeFill="background1"/>
        <w:snapToGrid w:val="0"/>
        <w:spacing w:line="400" w:lineRule="exact"/>
        <w:ind w:firstLine="739"/>
        <w:rPr>
          <w:rFonts w:hAnsi="宋体" w:cs="宋体"/>
          <w:snapToGrid w:val="0"/>
          <w:color w:val="auto"/>
          <w:sz w:val="21"/>
          <w:szCs w:val="21"/>
          <w:highlight w:val="none"/>
        </w:rPr>
      </w:pPr>
    </w:p>
    <w:p w14:paraId="6B2E5EDB">
      <w:pPr>
        <w:pStyle w:val="4"/>
        <w:keepNext w:val="0"/>
        <w:keepLines w:val="0"/>
        <w:shd w:val="clear" w:color="auto" w:fill="FFFFFF" w:themeFill="background1"/>
        <w:spacing w:line="400" w:lineRule="exact"/>
        <w:jc w:val="center"/>
        <w:rPr>
          <w:rFonts w:ascii="宋体" w:hAnsi="宋体" w:cs="宋体"/>
          <w:color w:val="auto"/>
          <w:highlight w:val="none"/>
        </w:rPr>
      </w:pPr>
      <w:bookmarkStart w:id="194" w:name="_Toc32494"/>
      <w:bookmarkStart w:id="195" w:name="_Toc1356"/>
      <w:bookmarkStart w:id="196" w:name="_Toc14091"/>
      <w:bookmarkStart w:id="197" w:name="_Toc254970544"/>
      <w:bookmarkStart w:id="198" w:name="_Toc27037"/>
      <w:bookmarkStart w:id="199" w:name="_Toc2573"/>
      <w:bookmarkStart w:id="200" w:name="_Toc1586"/>
      <w:bookmarkStart w:id="201" w:name="_Toc12790"/>
      <w:bookmarkStart w:id="202" w:name="_Toc22661"/>
      <w:bookmarkStart w:id="203" w:name="_Toc13250"/>
      <w:bookmarkStart w:id="204" w:name="_Toc254970685"/>
      <w:bookmarkStart w:id="205" w:name="_Toc810"/>
      <w:r>
        <w:rPr>
          <w:rFonts w:hint="eastAsia" w:ascii="宋体" w:hAnsi="宋体" w:cs="宋体"/>
          <w:color w:val="auto"/>
          <w:highlight w:val="none"/>
        </w:rPr>
        <w:t>四、开    标</w:t>
      </w:r>
      <w:bookmarkEnd w:id="194"/>
      <w:bookmarkEnd w:id="195"/>
      <w:bookmarkEnd w:id="196"/>
      <w:bookmarkEnd w:id="197"/>
      <w:bookmarkEnd w:id="198"/>
      <w:bookmarkEnd w:id="199"/>
      <w:bookmarkEnd w:id="200"/>
      <w:bookmarkEnd w:id="201"/>
      <w:bookmarkEnd w:id="202"/>
      <w:bookmarkEnd w:id="203"/>
      <w:bookmarkEnd w:id="204"/>
      <w:bookmarkEnd w:id="205"/>
    </w:p>
    <w:p w14:paraId="23803878">
      <w:pPr>
        <w:shd w:val="clear" w:color="auto" w:fill="FFFFFF" w:themeFill="background1"/>
        <w:spacing w:line="360" w:lineRule="auto"/>
        <w:ind w:firstLine="480" w:firstLineChars="200"/>
        <w:rPr>
          <w:rFonts w:ascii="宋体" w:hAnsi="宋体" w:cs="宋体"/>
          <w:color w:val="auto"/>
          <w:sz w:val="24"/>
          <w:highlight w:val="none"/>
        </w:rPr>
      </w:pPr>
      <w:bookmarkStart w:id="206" w:name="_23.开标时间和地点"/>
      <w:bookmarkEnd w:id="206"/>
      <w:r>
        <w:rPr>
          <w:rFonts w:hint="eastAsia" w:ascii="宋体" w:hAnsi="宋体" w:cs="宋体"/>
          <w:color w:val="auto"/>
          <w:sz w:val="24"/>
          <w:highlight w:val="none"/>
        </w:rPr>
        <w:t>23.开标时间和地点</w:t>
      </w:r>
    </w:p>
    <w:p w14:paraId="3B56340B">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6DBB3BE1">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投标人成功解密投标文件，但未在广西政府采购云平台电子开标大厅参加开标的，视同认可开标过程和结果，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4C89CDB7">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3AC833D0">
      <w:pPr>
        <w:shd w:val="clear" w:color="auto" w:fill="FFFFFF" w:themeFill="background1"/>
        <w:autoSpaceDE w:val="0"/>
        <w:autoSpaceDN w:val="0"/>
        <w:adjustRightInd w:val="0"/>
        <w:spacing w:line="440" w:lineRule="exact"/>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4CA1E0BD">
      <w:pPr>
        <w:shd w:val="clear" w:color="auto" w:fill="FFFFFF" w:themeFill="background1"/>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开标的准备工作由采购代理机构负责落实，采购代理机构必须基于广西政府采购云平台依法抽取评审专家，如采购代理机构未按规定抽取专家的，视为本次开评标无效，应当重新采购；</w:t>
      </w:r>
    </w:p>
    <w:p w14:paraId="27EC6E01">
      <w:pPr>
        <w:shd w:val="clear" w:color="auto" w:fill="FFFFFF" w:themeFill="background1"/>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bCs/>
          <w:color w:val="auto"/>
          <w:szCs w:val="21"/>
          <w:highlight w:val="none"/>
        </w:rPr>
        <w:t>（2）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6CC87A56">
      <w:pPr>
        <w:shd w:val="clear" w:color="auto" w:fill="FFFFFF" w:themeFill="background1"/>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4B46CD94">
      <w:pPr>
        <w:pStyle w:val="13"/>
        <w:numPr>
          <w:ilvl w:val="0"/>
          <w:numId w:val="2"/>
        </w:numPr>
        <w:shd w:val="clear" w:color="auto" w:fill="FFFFFF" w:themeFill="background1"/>
        <w:snapToGrid w:val="0"/>
        <w:spacing w:line="440" w:lineRule="exact"/>
        <w:ind w:firstLine="422" w:firstLineChars="200"/>
        <w:rPr>
          <w:rFonts w:hAnsi="宋体"/>
          <w:b/>
          <w:color w:val="auto"/>
          <w:szCs w:val="21"/>
          <w:highlight w:val="none"/>
        </w:rPr>
      </w:pPr>
      <w:r>
        <w:rPr>
          <w:rFonts w:hint="eastAsia" w:hAnsi="宋体"/>
          <w:b/>
          <w:color w:val="auto"/>
          <w:szCs w:val="21"/>
          <w:highlight w:val="none"/>
        </w:rPr>
        <w:t>解密电子投标文件。广西政府采购云平台</w:t>
      </w:r>
      <w:r>
        <w:rPr>
          <w:rFonts w:hint="eastAsia" w:hAnsi="宋体" w:cs="仿宋_GB2312"/>
          <w:color w:val="auto"/>
          <w:szCs w:val="21"/>
          <w:highlight w:val="none"/>
        </w:rPr>
        <w:t>按开标时间自动提取所有投标文件。采购代理机构依托广西政府采购云平台</w:t>
      </w:r>
      <w:r>
        <w:rPr>
          <w:rFonts w:hint="eastAsia" w:hAnsi="宋体"/>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b/>
          <w:color w:val="auto"/>
          <w:szCs w:val="21"/>
          <w:highlight w:val="none"/>
        </w:rPr>
        <w:t>须携带加密时所用的CA锁准时登录到广西政府采购云平台电子开标大厅签到并对电子投标文件在线解密</w:t>
      </w:r>
      <w:r>
        <w:rPr>
          <w:rFonts w:hint="eastAsia" w:hAnsi="宋体"/>
          <w:color w:val="auto"/>
          <w:szCs w:val="21"/>
          <w:highlight w:val="none"/>
        </w:rPr>
        <w:t>。</w:t>
      </w:r>
      <w:r>
        <w:rPr>
          <w:rFonts w:hint="eastAsia" w:hAnsi="宋体"/>
          <w:b/>
          <w:bCs/>
          <w:color w:val="auto"/>
          <w:szCs w:val="21"/>
          <w:highlight w:val="none"/>
        </w:rPr>
        <w:t>投标文件未按时解密的，</w:t>
      </w:r>
      <w:r>
        <w:rPr>
          <w:rFonts w:hint="eastAsia" w:hAnsi="宋体"/>
          <w:b/>
          <w:color w:val="auto"/>
          <w:szCs w:val="21"/>
          <w:highlight w:val="none"/>
        </w:rPr>
        <w:t>均视为无效投标。</w:t>
      </w:r>
    </w:p>
    <w:p w14:paraId="262BAD11">
      <w:pPr>
        <w:pStyle w:val="13"/>
        <w:shd w:val="clear" w:color="auto" w:fill="FFFFFF" w:themeFill="background1"/>
        <w:snapToGrid w:val="0"/>
        <w:spacing w:line="440" w:lineRule="exact"/>
        <w:rPr>
          <w:rFonts w:hAnsi="宋体"/>
          <w:color w:val="auto"/>
          <w:szCs w:val="21"/>
          <w:highlight w:val="none"/>
        </w:rPr>
      </w:pPr>
      <w:r>
        <w:rPr>
          <w:rFonts w:hint="eastAsia" w:hAnsi="宋体"/>
          <w:color w:val="auto"/>
          <w:szCs w:val="21"/>
          <w:highlight w:val="none"/>
        </w:rPr>
        <w:t>（解密</w:t>
      </w:r>
      <w:r>
        <w:rPr>
          <w:rFonts w:hint="eastAsia" w:hAnsi="宋体"/>
          <w:bCs/>
          <w:color w:val="auto"/>
          <w:szCs w:val="21"/>
          <w:highlight w:val="none"/>
        </w:rPr>
        <w:t>异常情况处理：详见本章</w:t>
      </w:r>
      <w:r>
        <w:rPr>
          <w:rFonts w:hint="eastAsia" w:hAnsi="宋体"/>
          <w:color w:val="auto"/>
          <w:highlight w:val="none"/>
        </w:rPr>
        <w:t>29.3 电子交易活动的中止。</w:t>
      </w:r>
      <w:r>
        <w:rPr>
          <w:rFonts w:hint="eastAsia" w:hAnsi="宋体"/>
          <w:color w:val="auto"/>
          <w:szCs w:val="21"/>
          <w:highlight w:val="none"/>
        </w:rPr>
        <w:t>）</w:t>
      </w:r>
    </w:p>
    <w:p w14:paraId="6D00ACD7">
      <w:pPr>
        <w:pStyle w:val="13"/>
        <w:numPr>
          <w:ilvl w:val="0"/>
          <w:numId w:val="2"/>
        </w:numPr>
        <w:shd w:val="clear" w:color="auto" w:fill="FFFFFF" w:themeFill="background1"/>
        <w:snapToGrid w:val="0"/>
        <w:spacing w:line="440" w:lineRule="exact"/>
        <w:ind w:firstLine="422" w:firstLineChars="200"/>
        <w:rPr>
          <w:rFonts w:hAnsi="宋体"/>
          <w:color w:val="auto"/>
          <w:szCs w:val="21"/>
          <w:highlight w:val="none"/>
        </w:rPr>
      </w:pPr>
      <w:r>
        <w:rPr>
          <w:rFonts w:hint="eastAsia" w:hAnsi="宋体"/>
          <w:b/>
          <w:color w:val="auto"/>
          <w:szCs w:val="21"/>
          <w:highlight w:val="none"/>
        </w:rPr>
        <w:t>电子唱标。</w:t>
      </w:r>
      <w:r>
        <w:rPr>
          <w:rFonts w:hint="eastAsia" w:hAnsi="宋体"/>
          <w:color w:val="auto"/>
          <w:szCs w:val="21"/>
          <w:highlight w:val="none"/>
        </w:rPr>
        <w:t>投标文件解密结束，各投标人报价均在广西政府采购云平台远程不见面开标大厅展示；</w:t>
      </w:r>
    </w:p>
    <w:p w14:paraId="5E0F8647">
      <w:pPr>
        <w:pStyle w:val="13"/>
        <w:numPr>
          <w:ilvl w:val="0"/>
          <w:numId w:val="2"/>
        </w:numPr>
        <w:shd w:val="clear" w:color="auto" w:fill="FFFFFF" w:themeFill="background1"/>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2E4E1E1D">
      <w:pPr>
        <w:pStyle w:val="13"/>
        <w:numPr>
          <w:ilvl w:val="0"/>
          <w:numId w:val="2"/>
        </w:numPr>
        <w:shd w:val="clear" w:color="auto" w:fill="FFFFFF" w:themeFill="background1"/>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BEDD4AD">
      <w:pPr>
        <w:pStyle w:val="13"/>
        <w:shd w:val="clear" w:color="auto" w:fill="FFFFFF" w:themeFill="background1"/>
        <w:snapToGrid w:val="0"/>
        <w:spacing w:line="440" w:lineRule="exact"/>
        <w:ind w:left="420" w:leftChars="200"/>
        <w:rPr>
          <w:rFonts w:hAnsi="宋体"/>
          <w:bCs/>
          <w:color w:val="auto"/>
          <w:szCs w:val="21"/>
          <w:highlight w:val="none"/>
        </w:rPr>
      </w:pPr>
      <w:r>
        <w:rPr>
          <w:rFonts w:hint="eastAsia" w:hAnsi="宋体"/>
          <w:bCs/>
          <w:color w:val="auto"/>
          <w:szCs w:val="21"/>
          <w:highlight w:val="none"/>
        </w:rPr>
        <w:t>（5）开标结束。</w:t>
      </w:r>
    </w:p>
    <w:p w14:paraId="65EBEFBD">
      <w:pPr>
        <w:pStyle w:val="13"/>
        <w:shd w:val="clear" w:color="auto" w:fill="FFFFFF" w:themeFill="background1"/>
        <w:snapToGrid w:val="0"/>
        <w:spacing w:line="440" w:lineRule="exact"/>
        <w:ind w:firstLine="422" w:firstLineChars="200"/>
        <w:rPr>
          <w:rFonts w:hAnsi="宋体" w:cs="宋体"/>
          <w:color w:val="auto"/>
          <w:szCs w:val="21"/>
          <w:highlight w:val="none"/>
        </w:rPr>
      </w:pPr>
      <w:r>
        <w:rPr>
          <w:rFonts w:hint="eastAsia" w:hAnsi="宋体"/>
          <w:b/>
          <w:bCs/>
          <w:color w:val="auto"/>
          <w:szCs w:val="21"/>
          <w:highlight w:val="none"/>
        </w:rPr>
        <w:t>特别说明：</w:t>
      </w:r>
      <w:r>
        <w:rPr>
          <w:rFonts w:hint="eastAsia" w:hAnsi="宋体"/>
          <w:color w:val="auto"/>
          <w:szCs w:val="21"/>
          <w:highlight w:val="none"/>
        </w:rPr>
        <w:t>如遇广西政府采购云平台电子化开标或评审程序调整的，按调整后执行。</w:t>
      </w:r>
    </w:p>
    <w:p w14:paraId="49CC5FCA">
      <w:pPr>
        <w:pStyle w:val="13"/>
        <w:shd w:val="clear" w:color="auto" w:fill="FFFFFF" w:themeFill="background1"/>
        <w:snapToGrid w:val="0"/>
        <w:spacing w:line="400" w:lineRule="exact"/>
        <w:ind w:left="689" w:leftChars="228" w:hanging="210" w:hangingChars="100"/>
        <w:rPr>
          <w:rFonts w:hAnsi="宋体" w:cs="宋体"/>
          <w:color w:val="auto"/>
          <w:highlight w:val="none"/>
        </w:rPr>
      </w:pPr>
    </w:p>
    <w:p w14:paraId="7308191F">
      <w:pPr>
        <w:pStyle w:val="4"/>
        <w:keepNext w:val="0"/>
        <w:keepLines w:val="0"/>
        <w:shd w:val="clear" w:color="auto" w:fill="FFFFFF" w:themeFill="background1"/>
        <w:spacing w:line="400" w:lineRule="exact"/>
        <w:jc w:val="center"/>
        <w:rPr>
          <w:rFonts w:ascii="宋体" w:hAnsi="宋体" w:cs="宋体"/>
          <w:color w:val="auto"/>
          <w:highlight w:val="none"/>
        </w:rPr>
      </w:pPr>
      <w:bookmarkStart w:id="207" w:name="_Toc1489"/>
      <w:bookmarkStart w:id="208" w:name="_Toc22509"/>
      <w:bookmarkStart w:id="209" w:name="_Toc25053"/>
      <w:bookmarkStart w:id="210" w:name="_Toc6866"/>
      <w:bookmarkStart w:id="211" w:name="_Toc29189"/>
      <w:bookmarkStart w:id="212" w:name="_Toc23512"/>
      <w:bookmarkStart w:id="213" w:name="_Toc31994"/>
      <w:bookmarkStart w:id="214" w:name="_Toc2575"/>
      <w:bookmarkStart w:id="215" w:name="_Toc19053"/>
      <w:bookmarkStart w:id="216" w:name="_Toc8919"/>
      <w:r>
        <w:rPr>
          <w:rFonts w:hint="eastAsia" w:ascii="宋体" w:hAnsi="宋体" w:cs="宋体"/>
          <w:color w:val="auto"/>
          <w:highlight w:val="none"/>
        </w:rPr>
        <w:t>五、资格审查</w:t>
      </w:r>
      <w:bookmarkEnd w:id="207"/>
      <w:bookmarkEnd w:id="208"/>
      <w:bookmarkEnd w:id="209"/>
      <w:bookmarkEnd w:id="210"/>
      <w:bookmarkEnd w:id="211"/>
      <w:bookmarkEnd w:id="212"/>
      <w:bookmarkEnd w:id="213"/>
      <w:bookmarkEnd w:id="214"/>
      <w:bookmarkEnd w:id="215"/>
      <w:bookmarkEnd w:id="216"/>
    </w:p>
    <w:p w14:paraId="5DDC6AA9">
      <w:pPr>
        <w:pStyle w:val="6"/>
        <w:keepNext w:val="0"/>
        <w:keepLines w:val="0"/>
        <w:shd w:val="clear" w:color="auto" w:fill="FFFFFF" w:themeFill="background1"/>
        <w:spacing w:before="0" w:after="0" w:line="360" w:lineRule="auto"/>
        <w:ind w:firstLine="482"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34150F6C">
      <w:pPr>
        <w:shd w:val="clear" w:color="auto" w:fill="FFFFFF" w:themeFill="background1"/>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25.1开标结束后，采购人或采购代理机构依法通过电子投标文件对投标人的资格进行线上审查。</w:t>
      </w:r>
    </w:p>
    <w:p w14:paraId="38F689E5">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25.2资格审查标准为本“招标文件”中“投标人须知前附表”13.1点载明对投标人资格要求的条件。本项目资格审查采用合格制，凡符合招标文件规定的投标人资格要求的投标人均通过资格审查。</w:t>
      </w:r>
    </w:p>
    <w:p w14:paraId="6D937F8A">
      <w:pPr>
        <w:shd w:val="clear" w:color="auto" w:fill="FFFFFF" w:themeFill="background1"/>
        <w:spacing w:line="360" w:lineRule="auto"/>
        <w:ind w:firstLine="422" w:firstLineChars="200"/>
        <w:rPr>
          <w:rFonts w:ascii="宋体" w:hAnsi="宋体" w:cs="宋体"/>
          <w:b/>
          <w:bCs/>
          <w:color w:val="auto"/>
          <w:szCs w:val="20"/>
          <w:highlight w:val="none"/>
        </w:rPr>
      </w:pPr>
      <w:bookmarkStart w:id="217" w:name="_25.3_投标人有下列情形之一的，资格审查不通过而导致其投标无效："/>
      <w:bookmarkEnd w:id="217"/>
      <w:r>
        <w:rPr>
          <w:rFonts w:hint="eastAsia" w:ascii="宋体" w:hAnsi="宋体" w:cs="宋体"/>
          <w:b/>
          <w:bCs/>
          <w:color w:val="auto"/>
          <w:szCs w:val="20"/>
          <w:highlight w:val="none"/>
        </w:rPr>
        <w:t>25.3投标人有下列情形之一的，资格审查不通过，作无效投标处理：</w:t>
      </w:r>
    </w:p>
    <w:p w14:paraId="4A075F19">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（1）不具备招标文件中规定的资格要求的；（注：其中信用查询规则见“投标人须知前附表”，广西政府采购云平台已与“信用中国”平台做接口，采购人或者采购代理机构可直接在线查询）</w:t>
      </w:r>
    </w:p>
    <w:p w14:paraId="6789DA79">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667208DA">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2C029151">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（4）同一合同项下的不同供应商，单位负责人为同一人或者存在直接控股、管理关系的；为本项目提供过整体设计、规范编制或者项目管理、监理、检测等服务的。</w:t>
      </w:r>
    </w:p>
    <w:p w14:paraId="4259D624">
      <w:pPr>
        <w:shd w:val="clear" w:color="auto" w:fill="FFFFFF" w:themeFill="background1"/>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25.4资格审查的合格投标人不足3家的，不得评标。</w:t>
      </w:r>
    </w:p>
    <w:p w14:paraId="78DFD351">
      <w:pPr>
        <w:pStyle w:val="4"/>
        <w:keepNext w:val="0"/>
        <w:keepLines w:val="0"/>
        <w:shd w:val="clear" w:color="auto" w:fill="FFFFFF" w:themeFill="background1"/>
        <w:spacing w:line="360" w:lineRule="auto"/>
        <w:jc w:val="center"/>
        <w:rPr>
          <w:rFonts w:ascii="宋体" w:hAnsi="宋体" w:cs="宋体"/>
          <w:color w:val="auto"/>
          <w:highlight w:val="none"/>
        </w:rPr>
      </w:pPr>
      <w:bookmarkStart w:id="218" w:name="_Toc11169"/>
      <w:bookmarkStart w:id="219" w:name="_Toc19035"/>
      <w:bookmarkStart w:id="220" w:name="_Toc20446"/>
      <w:bookmarkStart w:id="221" w:name="_Toc2770"/>
      <w:bookmarkStart w:id="222" w:name="_Toc29412"/>
      <w:bookmarkStart w:id="223" w:name="_Toc20983"/>
      <w:bookmarkStart w:id="224" w:name="_Toc21152"/>
      <w:bookmarkStart w:id="225" w:name="_Toc15749"/>
      <w:bookmarkStart w:id="226" w:name="_Toc3548"/>
      <w:bookmarkStart w:id="227" w:name="_Toc1454"/>
      <w:r>
        <w:rPr>
          <w:rFonts w:hint="eastAsia" w:ascii="宋体" w:hAnsi="宋体" w:cs="宋体"/>
          <w:color w:val="auto"/>
          <w:highlight w:val="none"/>
        </w:rPr>
        <w:t>六、评   标</w:t>
      </w:r>
      <w:bookmarkEnd w:id="218"/>
      <w:bookmarkEnd w:id="219"/>
      <w:bookmarkEnd w:id="220"/>
      <w:bookmarkEnd w:id="221"/>
      <w:bookmarkEnd w:id="222"/>
      <w:bookmarkEnd w:id="223"/>
      <w:bookmarkEnd w:id="224"/>
      <w:bookmarkEnd w:id="225"/>
      <w:bookmarkEnd w:id="226"/>
      <w:bookmarkEnd w:id="227"/>
    </w:p>
    <w:p w14:paraId="6AE30D88">
      <w:pPr>
        <w:shd w:val="clear" w:color="auto" w:fill="FFFFFF" w:themeFill="background1"/>
        <w:spacing w:line="360" w:lineRule="auto"/>
        <w:ind w:firstLine="480" w:firstLineChars="200"/>
        <w:rPr>
          <w:rFonts w:ascii="宋体" w:hAnsi="宋体" w:cs="宋体"/>
          <w:color w:val="auto"/>
          <w:sz w:val="24"/>
          <w:highlight w:val="none"/>
        </w:rPr>
      </w:pPr>
      <w:bookmarkStart w:id="228" w:name="_26.组建评标委员会"/>
      <w:bookmarkEnd w:id="228"/>
      <w:r>
        <w:rPr>
          <w:rFonts w:hint="eastAsia" w:ascii="宋体" w:hAnsi="宋体" w:cs="宋体"/>
          <w:color w:val="auto"/>
          <w:sz w:val="24"/>
          <w:highlight w:val="none"/>
        </w:rPr>
        <w:t>26.组建评标委员会</w:t>
      </w:r>
    </w:p>
    <w:p w14:paraId="67061BC5">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425BDB16">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072AE487">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45276013">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225DEBF8">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1B09B220">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D959C48">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6B10806">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28.3评标过程的监控。本项目电子评标过程实行网上留痕、全程录音、录像监控，投标人在评标过程中所进行的试图影响评标结果的不公正活动，可能导致其投标作无效处理。</w:t>
      </w:r>
    </w:p>
    <w:p w14:paraId="4BF813C4">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28.4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81E3EE3">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29.评标方法和评标标准</w:t>
      </w:r>
    </w:p>
    <w:p w14:paraId="4BC333B7">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494E0671">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0AED7778">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35BF45AA">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5CDB6A64">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7BFADCA1">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5B71A5CD">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4F51286E">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21E52872">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D13D6BE">
      <w:pPr>
        <w:pStyle w:val="4"/>
        <w:keepNext w:val="0"/>
        <w:keepLines w:val="0"/>
        <w:shd w:val="clear" w:color="auto" w:fill="FFFFFF" w:themeFill="background1"/>
        <w:spacing w:line="400" w:lineRule="exact"/>
        <w:jc w:val="center"/>
        <w:rPr>
          <w:rFonts w:ascii="宋体" w:hAnsi="宋体" w:cs="宋体"/>
          <w:color w:val="auto"/>
          <w:highlight w:val="none"/>
        </w:rPr>
      </w:pPr>
      <w:bookmarkStart w:id="229" w:name="_Toc254970546"/>
      <w:bookmarkStart w:id="230" w:name="_Toc254970687"/>
      <w:bookmarkStart w:id="231" w:name="_Toc4688"/>
      <w:bookmarkStart w:id="232" w:name="_Toc31226"/>
      <w:bookmarkStart w:id="233" w:name="_Toc10427"/>
      <w:bookmarkStart w:id="234" w:name="_Toc2302"/>
      <w:bookmarkStart w:id="235" w:name="_Toc10518"/>
      <w:bookmarkStart w:id="236" w:name="_Toc32339"/>
      <w:bookmarkStart w:id="237" w:name="_Toc24771"/>
      <w:bookmarkStart w:id="238" w:name="_Toc31698"/>
      <w:bookmarkStart w:id="239" w:name="_Toc15452"/>
      <w:bookmarkStart w:id="240" w:name="_Toc14661"/>
      <w:r>
        <w:rPr>
          <w:rFonts w:hint="eastAsia" w:ascii="宋体" w:hAnsi="宋体" w:cs="宋体"/>
          <w:color w:val="auto"/>
          <w:highlight w:val="none"/>
        </w:rPr>
        <w:t>七、</w:t>
      </w:r>
      <w:bookmarkEnd w:id="229"/>
      <w:bookmarkEnd w:id="230"/>
      <w:r>
        <w:rPr>
          <w:rFonts w:hint="eastAsia" w:ascii="宋体" w:hAnsi="宋体" w:cs="宋体"/>
          <w:color w:val="auto"/>
          <w:highlight w:val="none"/>
        </w:rPr>
        <w:t>中标和合同</w:t>
      </w:r>
      <w:bookmarkEnd w:id="231"/>
      <w:bookmarkEnd w:id="232"/>
      <w:bookmarkEnd w:id="233"/>
      <w:bookmarkEnd w:id="234"/>
      <w:bookmarkEnd w:id="235"/>
      <w:bookmarkEnd w:id="236"/>
      <w:bookmarkEnd w:id="237"/>
      <w:bookmarkEnd w:id="238"/>
      <w:bookmarkEnd w:id="239"/>
      <w:bookmarkEnd w:id="240"/>
    </w:p>
    <w:p w14:paraId="73F263C3">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30.确定中标人</w:t>
      </w:r>
    </w:p>
    <w:p w14:paraId="1840DDC7">
      <w:pPr>
        <w:shd w:val="clear" w:color="auto" w:fill="FFFFFF" w:themeFill="background1"/>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30.1</w:t>
      </w:r>
      <w:r>
        <w:rPr>
          <w:rFonts w:hint="eastAsia" w:ascii="宋体" w:hAnsi="宋体" w:cs="宋体"/>
          <w:color w:val="auto"/>
          <w:highlight w:val="none"/>
        </w:rPr>
        <w:t>采购人在收到评标委员会出具的评标报告之日起5个工作日内在评标报告推荐的中标候选人名单中按顺序确定中标人。采购人也可以事先授权评标委员会直接确定中标人。中标候选人并列的，由采购人或者采购人委托评标委员会按照“投标人须知前附表”规定的方式确定中标人；招标文件未规定的，采取随机抽取的方式确定。</w:t>
      </w:r>
      <w:r>
        <w:rPr>
          <w:rFonts w:hint="eastAsia" w:ascii="宋体" w:hAnsi="宋体" w:cs="宋体"/>
          <w:b/>
          <w:bCs/>
          <w:color w:val="auto"/>
          <w:szCs w:val="21"/>
          <w:highlight w:val="none"/>
        </w:rPr>
        <w:t xml:space="preserve">   </w:t>
      </w:r>
    </w:p>
    <w:p w14:paraId="1D28B73A">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41FA1FC3">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30.3中标人无正当理由拒签合同的，根据《中华人民共和国政府采购法》第七十七条第一款规定处理。</w:t>
      </w:r>
    </w:p>
    <w:p w14:paraId="773CCD17">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681A14F5">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31.结果公告</w:t>
      </w:r>
    </w:p>
    <w:p w14:paraId="55136C38">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在中标人确定之日起2个工作日内，由采购代理机构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发布中标结果公告，中标结果公告期限为1个工作日，发布中标结果公告的同时向中标人发出中标通知书。</w:t>
      </w:r>
      <w:r>
        <w:rPr>
          <w:rFonts w:hint="eastAsia" w:ascii="宋体" w:hAnsi="宋体" w:cs="宋体"/>
          <w:b/>
          <w:color w:val="auto"/>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hint="eastAsia" w:ascii="宋体" w:hAnsi="宋体" w:cs="宋体"/>
          <w:color w:val="auto"/>
          <w:szCs w:val="21"/>
          <w:highlight w:val="none"/>
        </w:rPr>
        <w:t>排名第二的中标候选人因前款规定的同样原因被取消中标资格的，采购人可以依法确定排名第三的中标候选人为中标人，以此类推。</w:t>
      </w:r>
    </w:p>
    <w:p w14:paraId="757DB762">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2DC4833A">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3F33669D">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1F74C79E">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32.1在发布中标公告的同时，采购代理机构向中标人通过广西政府采购云平台发出电子中标通知书。</w:t>
      </w:r>
    </w:p>
    <w:p w14:paraId="61945D78">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32.2对未通过资格审查的投标人，采购人或采购代理机构应当告知其未通过的原因；采用综合评分办法评审的，采购人或采购机构还应当告知未中标人本人的评审得分与排序。</w:t>
      </w:r>
    </w:p>
    <w:p w14:paraId="0C1F22C2">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0C422530">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71382856">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3FD3A05D">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合同将授予被确定实质上响应招标文件要求，具备履行合同能力的中标人（招标文件另有约定多名中标人的除外）。</w:t>
      </w:r>
    </w:p>
    <w:p w14:paraId="5EEC4EEE">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74812FF1">
      <w:pPr>
        <w:pStyle w:val="6"/>
        <w:keepNext w:val="0"/>
        <w:keepLines w:val="0"/>
        <w:shd w:val="clear" w:color="auto" w:fill="FFFFFF" w:themeFill="background1"/>
        <w:spacing w:before="0" w:after="0" w:line="360" w:lineRule="auto"/>
        <w:ind w:firstLine="315" w:firstLineChars="150"/>
        <w:rPr>
          <w:rFonts w:ascii="宋体" w:hAnsi="宋体" w:cs="宋体"/>
          <w:b w:val="0"/>
          <w:color w:val="auto"/>
          <w:sz w:val="21"/>
          <w:szCs w:val="21"/>
          <w:highlight w:val="none"/>
        </w:rPr>
      </w:pPr>
      <w:bookmarkStart w:id="241" w:name="_39.1中标人须于签订合同前按本须知前附表规定的金额转账或电汇到指定账"/>
      <w:bookmarkEnd w:id="241"/>
      <w:r>
        <w:rPr>
          <w:rFonts w:hint="eastAsia" w:ascii="宋体" w:hAnsi="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14:paraId="2546C931">
      <w:pPr>
        <w:pStyle w:val="6"/>
        <w:keepNext w:val="0"/>
        <w:keepLines w:val="0"/>
        <w:shd w:val="clear" w:color="auto" w:fill="FFFFFF" w:themeFill="background1"/>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14:paraId="32A77A92">
      <w:pPr>
        <w:pStyle w:val="6"/>
        <w:keepNext w:val="0"/>
        <w:keepLines w:val="0"/>
        <w:shd w:val="clear" w:color="auto" w:fill="FFFFFF" w:themeFill="background1"/>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35.3在履约保证金退还日期前，若中标人的开户名称、开户银行、账号有变动的，请以书面形式通知履约保证金收取单位，否则由此产生的后果由中标人自行承担。</w:t>
      </w:r>
    </w:p>
    <w:p w14:paraId="36A3E81F">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7AAD6963">
      <w:pPr>
        <w:shd w:val="clear" w:color="auto" w:fill="FFFFFF" w:themeFill="background1"/>
        <w:spacing w:line="360" w:lineRule="auto"/>
        <w:ind w:firstLine="420" w:firstLineChars="200"/>
        <w:rPr>
          <w:rFonts w:ascii="宋体" w:hAnsi="宋体" w:cs="宋体"/>
          <w:b/>
          <w:bCs/>
          <w:i/>
          <w:iCs/>
          <w:color w:val="auto"/>
          <w:szCs w:val="21"/>
          <w:highlight w:val="none"/>
        </w:rPr>
      </w:pPr>
      <w:bookmarkStart w:id="242" w:name="_40.1投标人接到中标通知书后，按须知前附表规定向采购人出示相关资格证"/>
      <w:bookmarkEnd w:id="242"/>
      <w:r>
        <w:rPr>
          <w:rFonts w:hint="eastAsia" w:ascii="宋体" w:hAnsi="宋体" w:cs="宋体"/>
          <w:color w:val="auto"/>
          <w:szCs w:val="21"/>
          <w:highlight w:val="none"/>
        </w:rPr>
        <w:t xml:space="preserve"> </w:t>
      </w:r>
      <w:r>
        <w:rPr>
          <w:rFonts w:hint="eastAsia" w:ascii="宋体" w:hAnsi="宋体" w:cs="宋体"/>
          <w:b/>
          <w:bCs/>
          <w:color w:val="auto"/>
          <w:szCs w:val="21"/>
          <w:highlight w:val="none"/>
        </w:rPr>
        <w:t>36.1中标人在中标通知书发出之日起，</w:t>
      </w:r>
      <w:r>
        <w:rPr>
          <w:rFonts w:hint="eastAsia" w:ascii="宋体" w:hAnsi="宋体" w:cs="宋体"/>
          <w:color w:val="auto"/>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3777B2E3">
      <w:pPr>
        <w:shd w:val="clear" w:color="auto" w:fill="FFFFFF" w:themeFill="background1"/>
        <w:spacing w:line="360" w:lineRule="auto"/>
        <w:ind w:firstLine="420" w:firstLineChars="200"/>
        <w:rPr>
          <w:rFonts w:ascii="宋体" w:hAnsi="宋体" w:cs="宋体"/>
          <w:b/>
          <w:bCs/>
          <w:i/>
          <w:iCs/>
          <w:color w:val="auto"/>
          <w:szCs w:val="21"/>
          <w:highlight w:val="none"/>
        </w:rPr>
      </w:pPr>
      <w:r>
        <w:rPr>
          <w:rFonts w:hint="eastAsia" w:ascii="宋体" w:hAnsi="宋体" w:cs="宋体"/>
          <w:color w:val="auto"/>
          <w:szCs w:val="21"/>
          <w:highlight w:val="none"/>
          <w:lang w:val="zh-CN"/>
        </w:rPr>
        <w:t>36.2采购合同由采购人与中标人根据招标文件、投标文件等内容签订。</w:t>
      </w:r>
    </w:p>
    <w:p w14:paraId="2126A9F8">
      <w:pPr>
        <w:pStyle w:val="36"/>
        <w:shd w:val="clear" w:color="auto" w:fill="FFFFFF" w:themeFill="background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w:t>
      </w:r>
    </w:p>
    <w:p w14:paraId="42036A27">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4DE4596C">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179DB28">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36.6采购人或中标人不得单方面向合同另一方提出任何招标文件没有约定的条件或不合理的要求，作为签订合同的条件；也不得协商另行订立背离招标文件和合同实质性内容的协议。</w:t>
      </w:r>
    </w:p>
    <w:p w14:paraId="01FA0A3F">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36.7如签订合同并生效后，中标人无故拒绝或延期，除按照合同条款处理外，将承担相应的法律责任。</w:t>
      </w:r>
    </w:p>
    <w:p w14:paraId="4BAF8765">
      <w:pPr>
        <w:shd w:val="clear" w:color="auto" w:fill="FFFFFF" w:themeFill="background1"/>
        <w:spacing w:line="360" w:lineRule="auto"/>
        <w:ind w:firstLine="480" w:firstLineChars="200"/>
        <w:rPr>
          <w:rFonts w:ascii="宋体" w:hAnsi="宋体" w:cs="宋体"/>
          <w:color w:val="auto"/>
          <w:sz w:val="24"/>
          <w:highlight w:val="none"/>
        </w:rPr>
      </w:pPr>
      <w:bookmarkStart w:id="243" w:name="_41.政府采购合同公告"/>
      <w:bookmarkEnd w:id="243"/>
      <w:r>
        <w:rPr>
          <w:rFonts w:hint="eastAsia" w:ascii="宋体" w:hAnsi="宋体" w:cs="宋体"/>
          <w:color w:val="auto"/>
          <w:sz w:val="24"/>
          <w:highlight w:val="none"/>
        </w:rPr>
        <w:t>37.政府采购合同公告</w:t>
      </w:r>
    </w:p>
    <w:p w14:paraId="2B513EF7">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采购人应当自政府采购合同签订之日起2个工作日内，将政府采购合同</w:t>
      </w:r>
      <w:r>
        <w:rPr>
          <w:rFonts w:hint="eastAsia" w:ascii="宋体" w:hAnsi="宋体" w:cs="宋体"/>
          <w:bCs/>
          <w:color w:val="auto"/>
          <w:highlight w:val="none"/>
        </w:rPr>
        <w:t>在省级以上人民政府财政部门指定的媒体</w:t>
      </w:r>
      <w:r>
        <w:rPr>
          <w:rFonts w:hint="eastAsia" w:ascii="宋体" w:hAnsi="宋体" w:cs="宋体"/>
          <w:color w:val="auto"/>
          <w:highlight w:val="none"/>
        </w:rPr>
        <w:t>上公告，但政府采购合同中涉及国家秘密、商业秘密的内容除外。</w:t>
      </w:r>
    </w:p>
    <w:p w14:paraId="02C6EB2F">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21E491E8">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42AE8366">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28850DC6">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60FEB33F">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询问事项可能影响中标结果的，采购人应当暂停签订合同，已经签订合同的，应当中止履行合同。</w:t>
      </w:r>
    </w:p>
    <w:p w14:paraId="647B9B4A">
      <w:pPr>
        <w:shd w:val="clear" w:color="auto" w:fill="FFFFFF" w:themeFill="background1"/>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38.2质疑</w:t>
      </w:r>
    </w:p>
    <w:p w14:paraId="714F33FB">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5FCF2D4B">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062A4BCC">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042E4204">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21FF0EE5">
      <w:pPr>
        <w:shd w:val="clear" w:color="auto" w:fill="FFFFFF" w:themeFill="background1"/>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1F8F0E1C">
      <w:pPr>
        <w:shd w:val="clear" w:color="auto" w:fill="FFFFFF" w:themeFill="background1"/>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43F42019">
      <w:pPr>
        <w:shd w:val="clear" w:color="auto" w:fill="FFFFFF" w:themeFill="background1"/>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66207DF3">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采购活动的供应商（潜在供应商已依法获取可质疑的采购文件的，可以对该采购文件质疑）；</w:t>
      </w:r>
    </w:p>
    <w:p w14:paraId="0906505E">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1A3C190A">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64B4D7BC">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7F30F5B6">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（5）供应商对同一采购程序环节的质疑应当在质疑有效期内一次性提出；</w:t>
      </w:r>
    </w:p>
    <w:p w14:paraId="795EBBA0">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（6）供应商提交质疑应当提交必要的证明材料，证明材料应以合法手段取得；</w:t>
      </w:r>
    </w:p>
    <w:p w14:paraId="3916ED99">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（7）财政部门规定的其他条件。</w:t>
      </w:r>
    </w:p>
    <w:p w14:paraId="3CFB8676">
      <w:pPr>
        <w:shd w:val="clear" w:color="auto" w:fill="FFFFFF" w:themeFill="background1"/>
        <w:spacing w:line="360" w:lineRule="auto"/>
        <w:ind w:firstLine="422" w:firstLineChars="200"/>
        <w:rPr>
          <w:rFonts w:ascii="宋体" w:hAnsi="宋体" w:cs="宋体"/>
          <w:b/>
          <w:bCs/>
          <w:color w:val="auto"/>
          <w:szCs w:val="21"/>
          <w:highlight w:val="none"/>
        </w:rPr>
      </w:pPr>
      <w:bookmarkStart w:id="244" w:name="_9.2质疑、投诉应当采用书面形式，质疑函、投诉书均应明确阐述招标文件、"/>
      <w:bookmarkEnd w:id="244"/>
      <w:r>
        <w:rPr>
          <w:rFonts w:hint="eastAsia" w:ascii="宋体" w:hAnsi="宋体" w:cs="宋体"/>
          <w:b/>
          <w:bCs/>
          <w:color w:val="auto"/>
          <w:szCs w:val="21"/>
          <w:highlight w:val="none"/>
        </w:rPr>
        <w:t xml:space="preserve"> 38.2.5 </w:t>
      </w:r>
      <w:r>
        <w:rPr>
          <w:rFonts w:hint="eastAsia" w:ascii="宋体" w:hAnsi="宋体" w:cs="宋体"/>
          <w:b/>
          <w:bCs/>
          <w:color w:val="auto"/>
          <w:highlight w:val="none"/>
        </w:rPr>
        <w:t>供应商提出质疑应当提交质疑函和必要的证明材料，针对同一采购程序环节的质疑必须在法定质疑期内一次性提出。质疑函应当包括下列内容（质疑函格式后附）：</w:t>
      </w:r>
    </w:p>
    <w:p w14:paraId="54728313">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6E576C69">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425FEE1F">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1404A63F">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68BF832F">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5814C551">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662B8DD0">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38F39D21">
      <w:pPr>
        <w:shd w:val="clear" w:color="auto" w:fill="FFFFFF" w:themeFill="background1"/>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29B8F709">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7D94B5A9">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6A625CEC">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（二）对采购过程、中标结果提出的质疑，合格供应商符合法定数量时，可以从合格的中标候选人中另行确定中标人的，应当依法另行确定中标人；否则应当重新开展采购活动。</w:t>
      </w:r>
    </w:p>
    <w:p w14:paraId="1043D10F">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1885953E">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0600124F">
      <w:pPr>
        <w:shd w:val="clear" w:color="auto" w:fill="FFFFFF" w:themeFill="background1"/>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提出质疑。对采购人或</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的答复不满意，或者采购人或</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未在规定期限内做出答复的，供应商可以在答复期满后15个工作日内向本级财政部门提起投诉，投诉联系方式见“投标人须知前附表”。</w:t>
      </w:r>
    </w:p>
    <w:p w14:paraId="2100DBAB">
      <w:pPr>
        <w:shd w:val="clear" w:color="auto" w:fill="FFFFFF" w:themeFill="background1"/>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1BB9765E">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6DA49C9E">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07C73A02">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4B002765">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4D68F1F8">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39D07D95">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432DE339">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投诉人为自然人的，应当由本人签字；投诉人为法人或者其他组织的，应当由法定代表人、主要负责人，或者其授权代表签字或者盖章，并加盖公章。</w:t>
      </w:r>
    </w:p>
    <w:p w14:paraId="1104CD88">
      <w:pPr>
        <w:shd w:val="clear" w:color="auto" w:fill="FFFFFF" w:themeFill="background1"/>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4D02C3A3">
      <w:pPr>
        <w:shd w:val="clear" w:color="auto" w:fill="FFFFFF" w:themeFill="background1"/>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1F8F72F4">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40363AD1">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797B23DD">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6EB74CD0">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0064DD87">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（5）同一投诉事项未经</w:t>
      </w:r>
      <w:r>
        <w:rPr>
          <w:rFonts w:hint="eastAsia" w:ascii="宋体" w:hAnsi="宋体" w:cs="宋体"/>
          <w:bCs/>
          <w:color w:val="auto"/>
          <w:highlight w:val="none"/>
        </w:rPr>
        <w:t>财政部门</w:t>
      </w:r>
      <w:r>
        <w:rPr>
          <w:rFonts w:hint="eastAsia" w:ascii="宋体" w:hAnsi="宋体" w:cs="宋体"/>
          <w:color w:val="auto"/>
          <w:highlight w:val="none"/>
        </w:rPr>
        <w:t>投诉处理；</w:t>
      </w:r>
    </w:p>
    <w:p w14:paraId="1CFEB91E">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（6）国务院财政部门规定的其他条件。</w:t>
      </w:r>
    </w:p>
    <w:p w14:paraId="4EE2C9C8">
      <w:pPr>
        <w:shd w:val="clear" w:color="auto" w:fill="FFFFFF" w:themeFill="background1"/>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245" w:name="_Toc7828"/>
      <w:bookmarkStart w:id="246" w:name="_Toc27653"/>
      <w:bookmarkStart w:id="247" w:name="_Toc25946"/>
      <w:bookmarkStart w:id="248" w:name="_Toc8731"/>
      <w:bookmarkStart w:id="249" w:name="_Toc23239"/>
      <w:bookmarkStart w:id="250" w:name="_Toc26583"/>
      <w:bookmarkStart w:id="251" w:name="_Toc13659"/>
      <w:bookmarkStart w:id="252" w:name="_Toc1756"/>
      <w:bookmarkStart w:id="253" w:name="_Toc29288"/>
      <w:bookmarkStart w:id="254" w:name="_Toc14937"/>
    </w:p>
    <w:p w14:paraId="3CD79F04">
      <w:pPr>
        <w:shd w:val="clear" w:color="auto" w:fill="FFFFFF" w:themeFill="background1"/>
        <w:snapToGrid w:val="0"/>
        <w:spacing w:line="360" w:lineRule="auto"/>
        <w:ind w:left="120" w:leftChars="57" w:firstLine="482" w:firstLineChars="150"/>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八、验收</w:t>
      </w:r>
      <w:bookmarkEnd w:id="245"/>
      <w:bookmarkEnd w:id="246"/>
      <w:bookmarkEnd w:id="247"/>
      <w:bookmarkEnd w:id="248"/>
      <w:bookmarkEnd w:id="249"/>
      <w:bookmarkEnd w:id="250"/>
      <w:bookmarkEnd w:id="251"/>
      <w:bookmarkEnd w:id="252"/>
      <w:bookmarkEnd w:id="253"/>
      <w:bookmarkEnd w:id="254"/>
    </w:p>
    <w:p w14:paraId="2C135260">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364BE6F5">
      <w:pPr>
        <w:shd w:val="clear" w:color="auto" w:fill="FFFFFF" w:themeFill="background1"/>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7E0C4861">
      <w:pPr>
        <w:shd w:val="clear" w:color="auto" w:fill="FFFFFF" w:themeFill="background1"/>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762CABE7">
      <w:pPr>
        <w:shd w:val="clear" w:color="auto" w:fill="FFFFFF" w:themeFill="background1"/>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4BC53BF1">
      <w:pPr>
        <w:shd w:val="clear" w:color="auto" w:fill="FFFFFF" w:themeFill="background1"/>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484ECF65">
      <w:pPr>
        <w:pStyle w:val="13"/>
        <w:shd w:val="clear" w:color="auto" w:fill="FFFFFF" w:themeFill="background1"/>
        <w:snapToGrid w:val="0"/>
        <w:spacing w:line="400" w:lineRule="exact"/>
        <w:rPr>
          <w:rFonts w:hAnsi="宋体" w:cs="宋体"/>
          <w:color w:val="auto"/>
          <w:highlight w:val="none"/>
        </w:rPr>
      </w:pPr>
    </w:p>
    <w:p w14:paraId="3F7EBE87">
      <w:pPr>
        <w:pStyle w:val="4"/>
        <w:keepNext w:val="0"/>
        <w:keepLines w:val="0"/>
        <w:shd w:val="clear" w:color="auto" w:fill="FFFFFF" w:themeFill="background1"/>
        <w:spacing w:line="360" w:lineRule="auto"/>
        <w:jc w:val="center"/>
        <w:rPr>
          <w:rFonts w:ascii="宋体" w:hAnsi="宋体" w:cs="宋体"/>
          <w:color w:val="auto"/>
          <w:highlight w:val="none"/>
        </w:rPr>
      </w:pPr>
      <w:bookmarkStart w:id="255" w:name="_八、其他事项"/>
      <w:bookmarkEnd w:id="255"/>
      <w:bookmarkStart w:id="256" w:name="_Toc24348"/>
      <w:bookmarkStart w:id="257" w:name="_Toc31560"/>
      <w:bookmarkStart w:id="258" w:name="_Toc28972"/>
      <w:bookmarkStart w:id="259" w:name="_Toc14814"/>
      <w:bookmarkStart w:id="260" w:name="_Toc32163"/>
      <w:bookmarkStart w:id="261" w:name="_Toc13612"/>
      <w:bookmarkStart w:id="262" w:name="_Toc16509"/>
      <w:bookmarkStart w:id="263" w:name="_Toc13217"/>
      <w:bookmarkStart w:id="264" w:name="_Toc27249"/>
      <w:bookmarkStart w:id="265" w:name="_Toc5795"/>
      <w:r>
        <w:rPr>
          <w:rFonts w:hint="eastAsia" w:ascii="宋体" w:hAnsi="宋体" w:cs="宋体"/>
          <w:color w:val="auto"/>
          <w:highlight w:val="none"/>
        </w:rPr>
        <w:t>九、其他事项</w:t>
      </w:r>
      <w:bookmarkEnd w:id="256"/>
      <w:bookmarkEnd w:id="257"/>
      <w:bookmarkEnd w:id="258"/>
      <w:bookmarkEnd w:id="259"/>
      <w:bookmarkEnd w:id="260"/>
      <w:bookmarkEnd w:id="261"/>
      <w:bookmarkEnd w:id="262"/>
      <w:bookmarkEnd w:id="263"/>
      <w:bookmarkEnd w:id="264"/>
      <w:bookmarkEnd w:id="265"/>
    </w:p>
    <w:p w14:paraId="3CA12B99">
      <w:pPr>
        <w:shd w:val="clear" w:color="auto" w:fill="FFFFFF" w:themeFill="background1"/>
        <w:spacing w:line="360" w:lineRule="auto"/>
        <w:ind w:firstLine="422" w:firstLineChars="200"/>
        <w:rPr>
          <w:rFonts w:ascii="宋体" w:hAnsi="宋体" w:cs="宋体"/>
          <w:b/>
          <w:bCs/>
          <w:color w:val="auto"/>
          <w:szCs w:val="21"/>
          <w:highlight w:val="none"/>
        </w:rPr>
      </w:pPr>
      <w:bookmarkStart w:id="266" w:name="_42.代理服务费"/>
      <w:bookmarkEnd w:id="266"/>
      <w:r>
        <w:rPr>
          <w:rFonts w:hint="eastAsia" w:ascii="宋体" w:hAnsi="宋体" w:cs="宋体"/>
          <w:b/>
          <w:bCs/>
          <w:color w:val="auto"/>
          <w:szCs w:val="21"/>
          <w:highlight w:val="none"/>
        </w:rPr>
        <w:t>40.采购代理服务费</w:t>
      </w:r>
    </w:p>
    <w:p w14:paraId="6AC6914A">
      <w:pPr>
        <w:shd w:val="clear" w:color="auto" w:fill="FFFFFF" w:themeFill="background1"/>
        <w:spacing w:line="360" w:lineRule="auto"/>
        <w:ind w:firstLine="420" w:firstLineChars="200"/>
        <w:rPr>
          <w:rFonts w:ascii="宋体" w:hAnsi="宋体" w:cs="宋体"/>
          <w:b/>
          <w:color w:val="auto"/>
          <w:szCs w:val="21"/>
          <w:highlight w:val="none"/>
        </w:rPr>
      </w:pPr>
      <w:r>
        <w:rPr>
          <w:rFonts w:hint="eastAsia" w:ascii="宋体" w:hAnsi="宋体" w:cs="宋体"/>
          <w:bCs/>
          <w:color w:val="auto"/>
          <w:szCs w:val="21"/>
          <w:highlight w:val="none"/>
        </w:rPr>
        <w:t>40.1采购代理服务费收费标准及缴费账户详见“投标人须知前附表”，投标人为联合体的，可以由联合体中的一方或者多方共同缴纳采购代理服务费。</w:t>
      </w:r>
    </w:p>
    <w:p w14:paraId="181FE38E">
      <w:pPr>
        <w:pStyle w:val="6"/>
        <w:keepNext w:val="0"/>
        <w:keepLines w:val="0"/>
        <w:shd w:val="clear" w:color="auto" w:fill="FFFFFF" w:themeFill="background1"/>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40.2采购代理服务费收费标准：</w:t>
      </w:r>
    </w:p>
    <w:tbl>
      <w:tblPr>
        <w:tblStyle w:val="23"/>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3A55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2F97EA09">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3A74310E">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中标金额</w:t>
            </w:r>
          </w:p>
        </w:tc>
        <w:tc>
          <w:tcPr>
            <w:tcW w:w="1659" w:type="dxa"/>
            <w:vAlign w:val="center"/>
          </w:tcPr>
          <w:p w14:paraId="1D8B2BE5">
            <w:pPr>
              <w:shd w:val="clear" w:color="auto" w:fill="FFFFFF" w:themeFill="background1"/>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687" w:type="dxa"/>
            <w:vAlign w:val="center"/>
          </w:tcPr>
          <w:p w14:paraId="06CF4C83">
            <w:pPr>
              <w:shd w:val="clear" w:color="auto" w:fill="FFFFFF" w:themeFill="background1"/>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659" w:type="dxa"/>
            <w:vAlign w:val="center"/>
          </w:tcPr>
          <w:p w14:paraId="78A5E884">
            <w:pPr>
              <w:shd w:val="clear" w:color="auto" w:fill="FFFFFF" w:themeFill="background1"/>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36CE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97F7668">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55F16314">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687" w:type="dxa"/>
          </w:tcPr>
          <w:p w14:paraId="2FBE87F7">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659" w:type="dxa"/>
          </w:tcPr>
          <w:p w14:paraId="121D4AFD">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2D73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68BD814">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1E851DB6">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87" w:type="dxa"/>
          </w:tcPr>
          <w:p w14:paraId="3D78F827">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659" w:type="dxa"/>
          </w:tcPr>
          <w:p w14:paraId="08D1B794">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2245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FEB5FB0">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04C9E49D">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687" w:type="dxa"/>
          </w:tcPr>
          <w:p w14:paraId="0AF4B5D4">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659" w:type="dxa"/>
          </w:tcPr>
          <w:p w14:paraId="7421F535">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78ED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03699B6">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303E479B">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687" w:type="dxa"/>
          </w:tcPr>
          <w:p w14:paraId="2685FA07">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659" w:type="dxa"/>
          </w:tcPr>
          <w:p w14:paraId="6B5F25DE">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08D0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9859171">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1F52EA81">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687" w:type="dxa"/>
          </w:tcPr>
          <w:p w14:paraId="798FC136">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659" w:type="dxa"/>
          </w:tcPr>
          <w:p w14:paraId="7D2F6D5F">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6E9B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326283C">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45D6C691">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687" w:type="dxa"/>
          </w:tcPr>
          <w:p w14:paraId="24A6E752">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659" w:type="dxa"/>
          </w:tcPr>
          <w:p w14:paraId="270B705E">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3993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B889F35">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01CA37BC">
            <w:pPr>
              <w:shd w:val="clear" w:color="auto" w:fill="FFFFFF" w:themeFill="background1"/>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687" w:type="dxa"/>
          </w:tcPr>
          <w:p w14:paraId="2FDD84E3">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659" w:type="dxa"/>
          </w:tcPr>
          <w:p w14:paraId="60661370">
            <w:pPr>
              <w:shd w:val="clear" w:color="auto" w:fill="FFFFFF" w:themeFill="background1"/>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72F9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06561A2">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1FDD78C7">
            <w:pPr>
              <w:shd w:val="clear" w:color="auto" w:fill="FFFFFF" w:themeFill="background1"/>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687" w:type="dxa"/>
          </w:tcPr>
          <w:p w14:paraId="742FD9F5">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659" w:type="dxa"/>
          </w:tcPr>
          <w:p w14:paraId="158F70C6">
            <w:pPr>
              <w:shd w:val="clear" w:color="auto" w:fill="FFFFFF" w:themeFill="background1"/>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532C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766F78C">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10C64FEB">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687" w:type="dxa"/>
          </w:tcPr>
          <w:p w14:paraId="42B8AE6D">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659" w:type="dxa"/>
          </w:tcPr>
          <w:p w14:paraId="337F2D27">
            <w:pPr>
              <w:shd w:val="clear" w:color="auto" w:fill="FFFFFF" w:themeFill="background1"/>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29FE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9D984B0">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206A42CC">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687" w:type="dxa"/>
          </w:tcPr>
          <w:p w14:paraId="6A833FF4">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659" w:type="dxa"/>
          </w:tcPr>
          <w:p w14:paraId="4D006630">
            <w:pPr>
              <w:shd w:val="clear" w:color="auto" w:fill="FFFFFF" w:themeFill="background1"/>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5D253B60">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注: </w:t>
      </w:r>
    </w:p>
    <w:p w14:paraId="3A954666">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59DDE3E0">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00AA69DF">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例如：某服务采购代理业务中标金额或者暂定价为200万元，计算采购代理收费额如下：</w:t>
      </w:r>
    </w:p>
    <w:p w14:paraId="1537ADE7">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 万元×l.5 ％＝ 1.5 万元</w:t>
      </w:r>
    </w:p>
    <w:p w14:paraId="75E0A19D">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200 － 100 ）万元 ×0.8％＝0.8万元</w:t>
      </w:r>
    </w:p>
    <w:p w14:paraId="3D5AEF90">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合计收费＝ 1.5+0.8＝ 2.3（万元）</w:t>
      </w:r>
    </w:p>
    <w:p w14:paraId="03E80478">
      <w:pPr>
        <w:shd w:val="clear" w:color="auto" w:fill="FFFFFF" w:themeFill="background1"/>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41. 需要补充的其他内容</w:t>
      </w:r>
    </w:p>
    <w:p w14:paraId="466011A6">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274D3990">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676B8987">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服务的人员为中小企业依照《中华人民共和国劳动合同法》订立劳动合同的从业人员，不对其中涉及的货物的制造商和工程承建商作出要求的，享受本文件规定的中小企业扶持政策。</w:t>
      </w:r>
    </w:p>
    <w:p w14:paraId="6BA57F86">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3AFACA3E">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1A1F152B">
      <w:pPr>
        <w:shd w:val="clear" w:color="auto" w:fill="FFFFFF" w:themeFill="background1"/>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42. 广西线上“政采贷”政策告知函</w:t>
      </w:r>
    </w:p>
    <w:p w14:paraId="4F100EC3">
      <w:pPr>
        <w:shd w:val="clear" w:color="auto" w:fill="FFFFFF" w:themeFill="background1"/>
        <w:spacing w:line="58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广西线上“政采贷”政策告知函</w:t>
      </w:r>
    </w:p>
    <w:p w14:paraId="348852D6">
      <w:pPr>
        <w:shd w:val="clear" w:color="auto" w:fill="FFFFFF" w:themeFill="background1"/>
        <w:spacing w:line="500" w:lineRule="exact"/>
        <w:rPr>
          <w:rFonts w:ascii="宋体" w:hAnsi="宋体" w:cs="宋体"/>
          <w:color w:val="auto"/>
          <w:szCs w:val="21"/>
          <w:highlight w:val="none"/>
        </w:rPr>
      </w:pPr>
      <w:r>
        <w:rPr>
          <w:rFonts w:hint="eastAsia" w:ascii="宋体" w:hAnsi="宋体" w:cs="宋体"/>
          <w:color w:val="auto"/>
          <w:szCs w:val="21"/>
          <w:highlight w:val="none"/>
        </w:rPr>
        <w:t>各供应商：</w:t>
      </w:r>
    </w:p>
    <w:p w14:paraId="22DCAD20">
      <w:pPr>
        <w:shd w:val="clear" w:color="auto" w:fill="FFFFFF" w:themeFill="background1"/>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5714585C">
      <w:pPr>
        <w:shd w:val="clear" w:color="auto" w:fill="FFFFFF" w:themeFill="background1"/>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0D1F70C3">
      <w:pPr>
        <w:shd w:val="clear" w:color="auto" w:fill="FFFFFF" w:themeFill="background1"/>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28"/>
          <w:rFonts w:hint="default" w:ascii="宋体" w:hAnsi="宋体" w:eastAsia="宋体" w:cs="宋体"/>
          <w:color w:val="auto"/>
          <w:szCs w:val="21"/>
          <w:highlight w:val="none"/>
        </w:rPr>
        <w:t>https://www.crcrfsp.com/</w:t>
      </w:r>
      <w:r>
        <w:rPr>
          <w:rStyle w:val="28"/>
          <w:rFonts w:hint="default" w:ascii="宋体" w:hAnsi="宋体" w:eastAsia="宋体" w:cs="宋体"/>
          <w:color w:val="auto"/>
          <w:szCs w:val="21"/>
          <w:highlight w:val="none"/>
        </w:rPr>
        <w:fldChar w:fldCharType="end"/>
      </w:r>
      <w:r>
        <w:rPr>
          <w:rFonts w:hint="eastAsia" w:ascii="宋体" w:hAnsi="宋体" w:cs="宋体"/>
          <w:color w:val="auto"/>
          <w:szCs w:val="21"/>
          <w:highlight w:val="none"/>
        </w:rPr>
        <w:t>，客服电话：400-009-0001）。</w:t>
      </w:r>
    </w:p>
    <w:p w14:paraId="10CF991C">
      <w:pPr>
        <w:numPr>
          <w:ilvl w:val="0"/>
          <w:numId w:val="3"/>
        </w:numPr>
        <w:shd w:val="clear" w:color="auto" w:fill="FFFFFF" w:themeFill="background1"/>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br w:type="page"/>
      </w:r>
      <w:bookmarkStart w:id="267" w:name="_Toc532545043"/>
    </w:p>
    <w:p w14:paraId="37CF88D6">
      <w:pPr>
        <w:pStyle w:val="13"/>
        <w:shd w:val="clear" w:color="auto" w:fill="FFFFFF" w:themeFill="background1"/>
        <w:jc w:val="center"/>
        <w:outlineLvl w:val="0"/>
        <w:rPr>
          <w:rFonts w:hAnsi="宋体" w:cs="宋体"/>
          <w:b/>
          <w:color w:val="auto"/>
          <w:sz w:val="36"/>
          <w:highlight w:val="none"/>
        </w:rPr>
      </w:pPr>
      <w:bookmarkStart w:id="268" w:name="_Toc2789"/>
      <w:bookmarkStart w:id="269" w:name="_Toc31952"/>
      <w:bookmarkStart w:id="270" w:name="_Toc12751"/>
      <w:bookmarkStart w:id="271" w:name="_Toc18631"/>
      <w:bookmarkStart w:id="272" w:name="_Toc14666"/>
      <w:bookmarkStart w:id="273" w:name="_Toc11694"/>
      <w:bookmarkStart w:id="274" w:name="_Toc24569"/>
      <w:bookmarkStart w:id="275" w:name="_Toc26567"/>
      <w:bookmarkStart w:id="276" w:name="_Toc3584"/>
      <w:bookmarkStart w:id="277" w:name="_Toc10118"/>
      <w:bookmarkStart w:id="278" w:name="_Toc10034"/>
      <w:bookmarkStart w:id="279" w:name="_Toc19117"/>
      <w:bookmarkStart w:id="280" w:name="_Toc28468"/>
      <w:r>
        <w:rPr>
          <w:rFonts w:hint="eastAsia" w:hAnsi="宋体" w:cs="宋体"/>
          <w:b/>
          <w:color w:val="auto"/>
          <w:sz w:val="36"/>
          <w:highlight w:val="none"/>
        </w:rPr>
        <w:t xml:space="preserve">第四章  </w:t>
      </w:r>
      <w:bookmarkEnd w:id="267"/>
      <w:bookmarkEnd w:id="268"/>
      <w:bookmarkEnd w:id="269"/>
      <w:bookmarkEnd w:id="270"/>
      <w:bookmarkEnd w:id="271"/>
      <w:bookmarkEnd w:id="272"/>
      <w:bookmarkEnd w:id="273"/>
      <w:bookmarkEnd w:id="274"/>
      <w:bookmarkEnd w:id="275"/>
      <w:r>
        <w:rPr>
          <w:rFonts w:hint="eastAsia" w:hAnsi="宋体" w:cs="宋体"/>
          <w:b/>
          <w:color w:val="auto"/>
          <w:sz w:val="36"/>
          <w:highlight w:val="none"/>
        </w:rPr>
        <w:t>评标方法和评标标准</w:t>
      </w:r>
      <w:bookmarkEnd w:id="276"/>
      <w:bookmarkEnd w:id="277"/>
      <w:bookmarkEnd w:id="278"/>
      <w:bookmarkEnd w:id="279"/>
      <w:bookmarkEnd w:id="280"/>
    </w:p>
    <w:p w14:paraId="0662D4CB">
      <w:pPr>
        <w:pStyle w:val="13"/>
        <w:shd w:val="clear" w:color="auto" w:fill="FFFFFF" w:themeFill="background1"/>
        <w:jc w:val="center"/>
        <w:outlineLvl w:val="1"/>
        <w:rPr>
          <w:rFonts w:hAnsi="宋体" w:cs="宋体"/>
          <w:b/>
          <w:bCs/>
          <w:color w:val="auto"/>
          <w:sz w:val="32"/>
          <w:szCs w:val="32"/>
          <w:highlight w:val="none"/>
        </w:rPr>
      </w:pPr>
      <w:bookmarkStart w:id="281" w:name="_Toc12345"/>
      <w:bookmarkStart w:id="282" w:name="_Toc20519"/>
      <w:bookmarkStart w:id="283" w:name="_Toc14342"/>
      <w:bookmarkStart w:id="284" w:name="_Toc29945"/>
      <w:bookmarkStart w:id="285" w:name="_Toc3574"/>
      <w:bookmarkStart w:id="286" w:name="_Toc5889"/>
      <w:bookmarkStart w:id="287" w:name="_Toc9604"/>
      <w:bookmarkStart w:id="288" w:name="_Toc6104"/>
      <w:bookmarkStart w:id="289" w:name="_Toc28074"/>
      <w:bookmarkStart w:id="290" w:name="_Toc28945"/>
    </w:p>
    <w:p w14:paraId="61CDFDF2">
      <w:pPr>
        <w:pStyle w:val="13"/>
        <w:shd w:val="clear" w:color="auto" w:fill="FFFFFF" w:themeFill="background1"/>
        <w:jc w:val="center"/>
        <w:outlineLvl w:val="1"/>
        <w:rPr>
          <w:rFonts w:hAnsi="宋体" w:cs="宋体"/>
          <w:b/>
          <w:bCs/>
          <w:color w:val="auto"/>
          <w:sz w:val="32"/>
          <w:szCs w:val="32"/>
          <w:highlight w:val="none"/>
        </w:rPr>
      </w:pPr>
      <w:r>
        <w:rPr>
          <w:rFonts w:hint="eastAsia" w:hAnsi="宋体" w:cs="宋体"/>
          <w:b/>
          <w:bCs/>
          <w:color w:val="auto"/>
          <w:sz w:val="32"/>
          <w:szCs w:val="32"/>
          <w:highlight w:val="none"/>
        </w:rPr>
        <w:t>第一节 评标方法</w:t>
      </w:r>
      <w:bookmarkEnd w:id="281"/>
      <w:bookmarkEnd w:id="282"/>
      <w:bookmarkEnd w:id="283"/>
      <w:bookmarkEnd w:id="284"/>
      <w:bookmarkEnd w:id="285"/>
      <w:bookmarkEnd w:id="286"/>
      <w:bookmarkEnd w:id="287"/>
      <w:bookmarkEnd w:id="288"/>
      <w:bookmarkEnd w:id="289"/>
      <w:bookmarkEnd w:id="290"/>
    </w:p>
    <w:p w14:paraId="323406A9">
      <w:pPr>
        <w:pStyle w:val="13"/>
        <w:shd w:val="clear" w:color="auto" w:fill="FFFFFF" w:themeFill="background1"/>
        <w:tabs>
          <w:tab w:val="left" w:pos="2472"/>
        </w:tabs>
        <w:spacing w:line="440" w:lineRule="exact"/>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1568F795">
      <w:pPr>
        <w:pStyle w:val="13"/>
        <w:shd w:val="clear" w:color="auto" w:fill="FFFFFF" w:themeFill="background1"/>
        <w:tabs>
          <w:tab w:val="left" w:pos="2472"/>
        </w:tabs>
        <w:spacing w:line="440" w:lineRule="exact"/>
        <w:ind w:firstLine="420" w:firstLineChars="200"/>
        <w:rPr>
          <w:rFonts w:hAnsi="宋体" w:cs="宋体"/>
          <w:color w:val="auto"/>
          <w:szCs w:val="21"/>
          <w:highlight w:val="none"/>
        </w:rPr>
      </w:pPr>
      <w:r>
        <w:rPr>
          <w:rFonts w:hint="eastAsia" w:hAnsi="宋体" w:cs="宋体"/>
          <w:color w:val="auto"/>
          <w:szCs w:val="21"/>
          <w:highlight w:val="none"/>
        </w:rPr>
        <w:t>□最低评标价法，是指投标文件满足招标文件全部实质性要求，且投标报价最低的投标人为中标候选人的评标方法。</w:t>
      </w:r>
    </w:p>
    <w:p w14:paraId="12EBB0A1">
      <w:pPr>
        <w:shd w:val="clear" w:color="auto" w:fill="FFFFFF" w:themeFill="background1"/>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综合评分法，是指投标文件满足招标文件全部实质性要求，且按照评审因素的量化指标评审得分最高的投标人为中标候选人的评标方法。评标委员会将对各投标人的投标文件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投标人须知前附表”规定的方式排列。 </w:t>
      </w:r>
    </w:p>
    <w:p w14:paraId="546CC0D0">
      <w:pPr>
        <w:pStyle w:val="13"/>
        <w:shd w:val="clear" w:color="auto" w:fill="FFFFFF" w:themeFill="background1"/>
        <w:spacing w:line="440" w:lineRule="exact"/>
        <w:ind w:firstLine="420"/>
        <w:rPr>
          <w:rFonts w:hAnsi="宋体" w:cs="宋体"/>
          <w:color w:val="auto"/>
          <w:szCs w:val="21"/>
          <w:highlight w:val="none"/>
        </w:rPr>
      </w:pPr>
    </w:p>
    <w:p w14:paraId="5324D045">
      <w:pPr>
        <w:pStyle w:val="13"/>
        <w:shd w:val="clear" w:color="auto" w:fill="FFFFFF" w:themeFill="background1"/>
        <w:tabs>
          <w:tab w:val="left" w:pos="2472"/>
        </w:tabs>
        <w:spacing w:line="440" w:lineRule="exact"/>
        <w:jc w:val="center"/>
        <w:outlineLvl w:val="1"/>
        <w:rPr>
          <w:rFonts w:hAnsi="宋体" w:cs="宋体"/>
          <w:b/>
          <w:bCs/>
          <w:color w:val="auto"/>
          <w:szCs w:val="21"/>
          <w:highlight w:val="none"/>
        </w:rPr>
      </w:pPr>
      <w:bookmarkStart w:id="291" w:name="_Toc23151"/>
      <w:bookmarkStart w:id="292" w:name="_Toc9259"/>
      <w:bookmarkStart w:id="293" w:name="_Toc1643"/>
      <w:bookmarkStart w:id="294" w:name="_Toc4190"/>
      <w:bookmarkStart w:id="295" w:name="_Toc10545"/>
      <w:bookmarkStart w:id="296" w:name="_Toc9023"/>
      <w:bookmarkStart w:id="297" w:name="_Toc18477"/>
      <w:bookmarkStart w:id="298" w:name="_Toc588"/>
      <w:bookmarkStart w:id="299" w:name="_Toc30114"/>
      <w:bookmarkStart w:id="300" w:name="_Toc24507"/>
      <w:r>
        <w:rPr>
          <w:rFonts w:hint="eastAsia" w:hAnsi="宋体" w:cs="宋体"/>
          <w:b/>
          <w:bCs/>
          <w:color w:val="auto"/>
          <w:sz w:val="32"/>
          <w:szCs w:val="32"/>
          <w:highlight w:val="none"/>
        </w:rPr>
        <w:t>第二节 评标程序</w:t>
      </w:r>
      <w:bookmarkEnd w:id="291"/>
      <w:bookmarkEnd w:id="292"/>
      <w:bookmarkEnd w:id="293"/>
      <w:bookmarkEnd w:id="294"/>
      <w:bookmarkEnd w:id="295"/>
      <w:bookmarkEnd w:id="296"/>
      <w:bookmarkEnd w:id="297"/>
      <w:bookmarkEnd w:id="298"/>
      <w:bookmarkEnd w:id="299"/>
      <w:bookmarkEnd w:id="300"/>
    </w:p>
    <w:p w14:paraId="7BE5D4C2">
      <w:pPr>
        <w:shd w:val="clear" w:color="auto" w:fill="FFFFFF" w:themeFill="background1"/>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10D5D5C2">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评标委员会应当对符合资格的投标人的投标文件进行投标报价、商务、技术等实质性内容符合性审查，以确定其是否满足招标文件的实质性要求。</w:t>
      </w:r>
    </w:p>
    <w:p w14:paraId="1D0C520A">
      <w:pPr>
        <w:shd w:val="clear" w:color="auto" w:fill="FFFFFF" w:themeFill="background1"/>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6D33B2CE">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1793C893">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690E47C6">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0F6AB2F4">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49B3C894">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（3）报价超出招标文件规定最高限价，或者超出采购预算金额的；或者各分项出现0元报价的；</w:t>
      </w:r>
    </w:p>
    <w:p w14:paraId="6C890DEB">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项目/分标进行报价或者存在漏项报价；投标人未就所投项目/分标的单项内容作唯一报价；投标人未就所投项目/分标的全部内容作唯一总价报价；存在有选择、有条件报价的（招标文件允许有备选方案或者其他约定的除外）；</w:t>
      </w:r>
    </w:p>
    <w:p w14:paraId="79D4796B">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5771D444">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36D9EC9A">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2BDF011C">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5E8D63F6">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（2）委托代理人未能出具有效身份证明或者出具的身份证明与授权委托书中的信息不符的；</w:t>
      </w:r>
    </w:p>
    <w:p w14:paraId="1DE836D8">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（3）为无效投标保证金的或者未按照招标文件的规定提交投标保证金的； </w:t>
      </w:r>
    </w:p>
    <w:p w14:paraId="1501C8B7">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（4）投标文件未提供“投标人须知前附表”第13.1条规定中“必须提供”或者“委托时必须提供”的文件资料的;</w:t>
      </w:r>
    </w:p>
    <w:p w14:paraId="28922B59">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（5）投标有效期、项目完成时间（交货时间、服务完成时间或者服务期等）、质保期及招标文件中标“▲”的商务条款发生负偏离的；</w:t>
      </w:r>
    </w:p>
    <w:p w14:paraId="13939A30">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（6）商务条款评审允许负偏离的条款数超过“投标人须知前附表”规定项数的。</w:t>
      </w:r>
    </w:p>
    <w:p w14:paraId="0AE6533D">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（7）投标文件的实质性内容未使用中文表述、使用计量单位不符合招标文件要求的；</w:t>
      </w:r>
    </w:p>
    <w:p w14:paraId="36AF64BC">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（8）投标文件中的文件资料因填写不齐全或者内容虚假或者出现其他情形而导致被评标委员会认定无效的；</w:t>
      </w:r>
    </w:p>
    <w:p w14:paraId="1585B951">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（9）投标文件含有采购人不能接受的附加条件的；</w:t>
      </w:r>
    </w:p>
    <w:p w14:paraId="13B4186F">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（10）未响应招标文件实质性要求的；</w:t>
      </w:r>
    </w:p>
    <w:p w14:paraId="33E935DF">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（11）属于投标人须知正文第9.2条情形的；</w:t>
      </w:r>
    </w:p>
    <w:p w14:paraId="0665D22F">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（12）法律、法规和招标文件规定的其他无效情形。</w:t>
      </w:r>
    </w:p>
    <w:p w14:paraId="3D3D002B">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6258D808">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3A278A54">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43BE85C2">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63B8E40E">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3863BA3D">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（5）招标文件要求提供技术方案的，投标技术方案不明确，招标文件未允许但存在一个或者一个以上备选（替代）投标方案的。</w:t>
      </w:r>
    </w:p>
    <w:p w14:paraId="041F625B">
      <w:pPr>
        <w:shd w:val="clear" w:color="auto" w:fill="FFFFFF" w:themeFill="background1"/>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09763F83">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公章后在线上传至评标委员会。投标人的澄清、说明或者补正不得超出投标文件的范围或者改变投标文件的实质性内容。投标人未在规定时间内进行澄清、说明或者补正的，有可能对评审产生影响。</w:t>
      </w:r>
    </w:p>
    <w:p w14:paraId="3E2CACA6">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0A8890C">
      <w:pPr>
        <w:shd w:val="clear" w:color="auto" w:fill="FFFFFF" w:themeFill="background1"/>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2AAF8E08">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725B1E88">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（1）报价文件中“开标一览表”内容与投标文件中相应内容不一致的，以“开标一览表”为准；</w:t>
      </w:r>
    </w:p>
    <w:p w14:paraId="2D42166A">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D59FE95">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14:paraId="1B13F2A4">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358CE697">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同时出现两种以上不一致的，按照以上（1）-（4）规定的顺序修正。修正后的报价经投标人确认后产生约束力，投标人不确认的，其投标无效。</w:t>
      </w:r>
    </w:p>
    <w:p w14:paraId="19DD0CB3">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13DD79EF">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122F1BD3">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2C0C5C4C">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5.1评标委员会按照招标文件中规定的评标方法和评标标准，对符合性审查合格的投标文件进行商务和技术评估，综合比较与评价。</w:t>
      </w:r>
    </w:p>
    <w:p w14:paraId="01E2ECF4">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5.2评标委员会各成员独立对每个投标人的投标文件进行评价，并汇总每个投标人的得分。</w:t>
      </w:r>
    </w:p>
    <w:p w14:paraId="44F6F321">
      <w:pPr>
        <w:numPr>
          <w:ilvl w:val="0"/>
          <w:numId w:val="4"/>
        </w:num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580CB5C5">
      <w:pPr>
        <w:shd w:val="clear" w:color="auto" w:fill="FFFFFF" w:themeFill="background1"/>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0E9E7FF2">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5.3评标委员会按照招标文件中规定的评标方法和标准计算各投标人的报价得分。在评标过程中，不得去掉报价中的最高报价和最低报价。</w:t>
      </w:r>
    </w:p>
    <w:p w14:paraId="6708948F">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5.4各投标人的得分为评标委员会各成员的有效评分的算术平均数。</w:t>
      </w:r>
    </w:p>
    <w:p w14:paraId="018C1CE0">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5.5评标委员会按照招标文件中的规定推荐中标候选人。</w:t>
      </w:r>
    </w:p>
    <w:p w14:paraId="2AD9A15B">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5.6起草并签署评标报告。评标委员会根据评标委员会各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AA769E2">
      <w:pPr>
        <w:shd w:val="clear" w:color="auto" w:fill="FFFFFF" w:themeFill="background1"/>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0B3D3F21">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45121D35">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6.2评标结果汇总完成后，除下列情形外，任何人不得修改评标结果：</w:t>
      </w:r>
    </w:p>
    <w:p w14:paraId="3B952EC7">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（一）分值汇总计算错误的；</w:t>
      </w:r>
    </w:p>
    <w:p w14:paraId="7E5E195E">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（二）分项评分超出评分标准范围的；</w:t>
      </w:r>
    </w:p>
    <w:p w14:paraId="7A587FF6">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（三）评标委员会成员对客观评审因素评分不一致的；</w:t>
      </w:r>
    </w:p>
    <w:p w14:paraId="4ACEA55B">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（四）经评标委员会认定评分畸高、畸低的。</w:t>
      </w:r>
    </w:p>
    <w:p w14:paraId="78C18026">
      <w:pPr>
        <w:shd w:val="clear" w:color="auto" w:fill="FFFFFF" w:themeFill="background1"/>
        <w:spacing w:line="440" w:lineRule="exact"/>
        <w:ind w:firstLine="420" w:firstLineChars="200"/>
        <w:rPr>
          <w:rFonts w:ascii="宋体" w:hAnsi="宋体" w:cs="宋体"/>
          <w:color w:val="auto"/>
          <w:highlight w:val="none"/>
        </w:rPr>
      </w:pPr>
      <w:r>
        <w:rPr>
          <w:rFonts w:hint="eastAsia" w:ascii="宋体" w:hAnsi="宋体" w:cs="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117830E">
      <w:pPr>
        <w:pStyle w:val="3"/>
        <w:shd w:val="clear" w:color="auto" w:fill="FFFFFF" w:themeFill="background1"/>
        <w:spacing w:line="240" w:lineRule="auto"/>
        <w:jc w:val="center"/>
        <w:rPr>
          <w:rFonts w:ascii="宋体" w:hAnsi="宋体" w:eastAsia="宋体" w:cs="宋体"/>
          <w:b w:val="0"/>
          <w:color w:val="auto"/>
          <w:sz w:val="30"/>
          <w:szCs w:val="30"/>
          <w:highlight w:val="none"/>
        </w:rPr>
      </w:pPr>
      <w:bookmarkStart w:id="301" w:name="_Toc22963"/>
      <w:bookmarkStart w:id="302" w:name="_Toc13548"/>
      <w:bookmarkStart w:id="303" w:name="_Toc5755"/>
      <w:bookmarkStart w:id="304" w:name="_Toc19942"/>
      <w:bookmarkStart w:id="305" w:name="_Toc27331"/>
      <w:bookmarkStart w:id="306" w:name="_Toc17834"/>
      <w:bookmarkStart w:id="307" w:name="_Toc28829"/>
      <w:bookmarkStart w:id="308" w:name="_Toc4866"/>
      <w:bookmarkStart w:id="309" w:name="_Toc28193"/>
      <w:bookmarkStart w:id="310" w:name="_Toc25728"/>
      <w:r>
        <w:rPr>
          <w:rFonts w:hint="eastAsia" w:ascii="宋体" w:hAnsi="宋体" w:eastAsia="宋体" w:cs="宋体"/>
          <w:b w:val="0"/>
          <w:color w:val="auto"/>
          <w:sz w:val="30"/>
          <w:szCs w:val="30"/>
          <w:highlight w:val="none"/>
        </w:rPr>
        <w:t>第三节 评分标准</w:t>
      </w:r>
      <w:bookmarkEnd w:id="301"/>
      <w:bookmarkEnd w:id="302"/>
      <w:bookmarkEnd w:id="303"/>
      <w:bookmarkEnd w:id="304"/>
      <w:bookmarkEnd w:id="305"/>
      <w:bookmarkEnd w:id="306"/>
      <w:bookmarkEnd w:id="307"/>
      <w:bookmarkEnd w:id="308"/>
      <w:bookmarkEnd w:id="309"/>
      <w:bookmarkEnd w:id="310"/>
    </w:p>
    <w:p w14:paraId="7277C1B1">
      <w:pPr>
        <w:pStyle w:val="13"/>
        <w:shd w:val="clear" w:color="auto" w:fill="FFFFFF" w:themeFill="background1"/>
        <w:jc w:val="center"/>
        <w:rPr>
          <w:rFonts w:hAnsi="宋体" w:cs="宋体"/>
          <w:b/>
          <w:color w:val="auto"/>
          <w:sz w:val="30"/>
          <w:szCs w:val="30"/>
          <w:highlight w:val="none"/>
        </w:rPr>
      </w:pPr>
      <w:r>
        <w:rPr>
          <w:rFonts w:hint="eastAsia" w:hAnsi="宋体" w:cs="宋体"/>
          <w:b/>
          <w:color w:val="auto"/>
          <w:sz w:val="30"/>
          <w:szCs w:val="30"/>
          <w:highlight w:val="none"/>
        </w:rPr>
        <w:t>综合评分法</w:t>
      </w:r>
    </w:p>
    <w:p w14:paraId="49A99738">
      <w:pPr>
        <w:shd w:val="clear" w:color="auto" w:fill="FFFFFF" w:themeFill="background1"/>
        <w:spacing w:line="360" w:lineRule="auto"/>
        <w:ind w:firstLine="420"/>
        <w:rPr>
          <w:rFonts w:ascii="宋体" w:hAnsi="宋体"/>
          <w:bCs/>
          <w:color w:val="auto"/>
          <w:szCs w:val="20"/>
          <w:highlight w:val="none"/>
        </w:rPr>
      </w:pPr>
      <w:r>
        <w:rPr>
          <w:rFonts w:hint="eastAsia" w:ascii="宋体" w:hAnsi="宋体"/>
          <w:bCs/>
          <w:color w:val="auto"/>
          <w:szCs w:val="20"/>
          <w:highlight w:val="none"/>
        </w:rPr>
        <w:t>注：计分方法按四舍五入取至百分位。</w:t>
      </w:r>
    </w:p>
    <w:tbl>
      <w:tblPr>
        <w:tblStyle w:val="23"/>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145"/>
        <w:gridCol w:w="1216"/>
        <w:gridCol w:w="7198"/>
      </w:tblGrid>
      <w:tr w14:paraId="4BE6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98" w:type="dxa"/>
            <w:vAlign w:val="center"/>
          </w:tcPr>
          <w:p w14:paraId="09E55BE6">
            <w:pPr>
              <w:pageBreakBefore w:val="0"/>
              <w:widowControl w:val="0"/>
              <w:kinsoku/>
              <w:wordWrap/>
              <w:overflowPunct/>
              <w:topLinePunct w:val="0"/>
              <w:autoSpaceDE/>
              <w:autoSpaceDN/>
              <w:bidi w:val="0"/>
              <w:adjustRightInd w:val="0"/>
              <w:spacing w:line="39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145" w:type="dxa"/>
            <w:vAlign w:val="center"/>
          </w:tcPr>
          <w:p w14:paraId="4A704C9C">
            <w:pPr>
              <w:pageBreakBefore w:val="0"/>
              <w:widowControl w:val="0"/>
              <w:kinsoku/>
              <w:wordWrap/>
              <w:overflowPunct/>
              <w:topLinePunct w:val="0"/>
              <w:autoSpaceDE/>
              <w:autoSpaceDN/>
              <w:bidi w:val="0"/>
              <w:adjustRightInd w:val="0"/>
              <w:spacing w:line="39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1216" w:type="dxa"/>
            <w:vAlign w:val="center"/>
          </w:tcPr>
          <w:p w14:paraId="4D29C0C2">
            <w:pPr>
              <w:pageBreakBefore w:val="0"/>
              <w:widowControl w:val="0"/>
              <w:kinsoku/>
              <w:wordWrap/>
              <w:overflowPunct/>
              <w:topLinePunct w:val="0"/>
              <w:autoSpaceDE/>
              <w:autoSpaceDN/>
              <w:bidi w:val="0"/>
              <w:adjustRightInd w:val="0"/>
              <w:spacing w:line="39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分值</w:t>
            </w:r>
          </w:p>
        </w:tc>
        <w:tc>
          <w:tcPr>
            <w:tcW w:w="7198" w:type="dxa"/>
            <w:vAlign w:val="center"/>
          </w:tcPr>
          <w:p w14:paraId="039D5C26">
            <w:pPr>
              <w:pageBreakBefore w:val="0"/>
              <w:widowControl w:val="0"/>
              <w:kinsoku/>
              <w:wordWrap/>
              <w:overflowPunct/>
              <w:topLinePunct w:val="0"/>
              <w:autoSpaceDE/>
              <w:autoSpaceDN/>
              <w:bidi w:val="0"/>
              <w:adjustRightInd w:val="0"/>
              <w:spacing w:line="39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222E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Align w:val="center"/>
          </w:tcPr>
          <w:p w14:paraId="1EE971C7">
            <w:pPr>
              <w:pageBreakBefore w:val="0"/>
              <w:widowControl w:val="0"/>
              <w:kinsoku/>
              <w:wordWrap/>
              <w:overflowPunct/>
              <w:topLinePunct w:val="0"/>
              <w:autoSpaceDE/>
              <w:autoSpaceDN/>
              <w:bidi w:val="0"/>
              <w:adjustRightInd w:val="0"/>
              <w:spacing w:line="39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145" w:type="dxa"/>
            <w:vAlign w:val="center"/>
          </w:tcPr>
          <w:p w14:paraId="2C292BD0">
            <w:pPr>
              <w:pageBreakBefore w:val="0"/>
              <w:widowControl w:val="0"/>
              <w:kinsoku/>
              <w:wordWrap/>
              <w:overflowPunct/>
              <w:topLinePunct w:val="0"/>
              <w:autoSpaceDE/>
              <w:autoSpaceDN/>
              <w:bidi w:val="0"/>
              <w:adjustRightInd w:val="0"/>
              <w:spacing w:line="39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投标报价</w:t>
            </w:r>
          </w:p>
        </w:tc>
        <w:tc>
          <w:tcPr>
            <w:tcW w:w="1216" w:type="dxa"/>
            <w:vAlign w:val="center"/>
          </w:tcPr>
          <w:p w14:paraId="70D4D884">
            <w:pPr>
              <w:pageBreakBefore w:val="0"/>
              <w:widowControl w:val="0"/>
              <w:kinsoku/>
              <w:wordWrap/>
              <w:overflowPunct/>
              <w:topLinePunct w:val="0"/>
              <w:autoSpaceDE/>
              <w:autoSpaceDN/>
              <w:bidi w:val="0"/>
              <w:adjustRightInd w:val="0"/>
              <w:spacing w:line="390" w:lineRule="exact"/>
              <w:jc w:val="center"/>
              <w:textAlignment w:val="baseline"/>
              <w:rPr>
                <w:rFonts w:ascii="宋体" w:hAnsi="宋体" w:cs="宋体"/>
                <w:b/>
                <w:color w:val="auto"/>
                <w:szCs w:val="21"/>
                <w:highlight w:val="none"/>
              </w:rPr>
            </w:pPr>
            <w:r>
              <w:rPr>
                <w:rFonts w:hint="eastAsia" w:ascii="宋体" w:hAnsi="宋体" w:cs="宋体"/>
                <w:bCs/>
                <w:color w:val="auto"/>
                <w:szCs w:val="21"/>
                <w:highlight w:val="none"/>
              </w:rPr>
              <w:t>10分</w:t>
            </w:r>
          </w:p>
        </w:tc>
        <w:tc>
          <w:tcPr>
            <w:tcW w:w="7198" w:type="dxa"/>
            <w:vAlign w:val="center"/>
          </w:tcPr>
          <w:p w14:paraId="5A346663">
            <w:pPr>
              <w:pStyle w:val="13"/>
              <w:pageBreakBefore w:val="0"/>
              <w:widowControl w:val="0"/>
              <w:kinsoku/>
              <w:wordWrap/>
              <w:overflowPunct/>
              <w:topLinePunct w:val="0"/>
              <w:autoSpaceDE/>
              <w:autoSpaceDN/>
              <w:bidi w:val="0"/>
              <w:spacing w:line="390" w:lineRule="exact"/>
              <w:rPr>
                <w:rFonts w:hint="eastAsia" w:hAnsi="宋体" w:cs="宋体"/>
                <w:bCs/>
                <w:color w:val="auto"/>
                <w:szCs w:val="21"/>
                <w:highlight w:val="none"/>
              </w:rPr>
            </w:pPr>
            <w:r>
              <w:rPr>
                <w:rFonts w:hint="eastAsia" w:hAnsi="宋体" w:cs="宋体"/>
                <w:bCs/>
                <w:color w:val="auto"/>
                <w:szCs w:val="21"/>
                <w:highlight w:val="none"/>
              </w:rPr>
              <w:t>（1）评标报价为投标人的投标报价进行政策性扣除后的价格，评标报价只是作为评标时使用。最终中标人的中标金额等于投标报价。</w:t>
            </w:r>
          </w:p>
          <w:p w14:paraId="2F70BA4D">
            <w:pPr>
              <w:pStyle w:val="13"/>
              <w:pageBreakBefore w:val="0"/>
              <w:widowControl w:val="0"/>
              <w:kinsoku/>
              <w:wordWrap/>
              <w:overflowPunct/>
              <w:topLinePunct w:val="0"/>
              <w:autoSpaceDE/>
              <w:autoSpaceDN/>
              <w:bidi w:val="0"/>
              <w:spacing w:line="390" w:lineRule="exact"/>
              <w:rPr>
                <w:rFonts w:hint="eastAsia" w:hAnsi="宋体" w:cs="宋体"/>
                <w:bCs/>
                <w:color w:val="auto"/>
                <w:szCs w:val="21"/>
                <w:highlight w:val="none"/>
                <w:lang w:eastAsia="zh-CN"/>
              </w:rPr>
            </w:pPr>
            <w:r>
              <w:rPr>
                <w:rFonts w:hint="eastAsia" w:hAnsi="宋体" w:cs="宋体"/>
                <w:bCs/>
                <w:color w:val="auto"/>
                <w:szCs w:val="21"/>
                <w:highlight w:val="none"/>
              </w:rPr>
              <w:t>（2）按照《政府采购促进中小企业发展管理办法》（财库〔2020〕46号）</w:t>
            </w:r>
            <w:r>
              <w:rPr>
                <w:rFonts w:hint="eastAsia" w:hAnsi="宋体" w:cs="宋体"/>
                <w:bCs/>
                <w:color w:val="auto"/>
                <w:szCs w:val="21"/>
                <w:highlight w:val="none"/>
                <w:lang w:eastAsia="zh-CN"/>
              </w:rPr>
              <w:t>及 《广西壮族自治区财政厅关于贯彻落实政府采购支持中小企业发展政策的通知》（桂财采〔2022〕31号）</w:t>
            </w:r>
          </w:p>
          <w:p w14:paraId="57EC67C9">
            <w:pPr>
              <w:pStyle w:val="13"/>
              <w:pageBreakBefore w:val="0"/>
              <w:widowControl w:val="0"/>
              <w:kinsoku/>
              <w:wordWrap/>
              <w:overflowPunct/>
              <w:topLinePunct w:val="0"/>
              <w:autoSpaceDE/>
              <w:autoSpaceDN/>
              <w:bidi w:val="0"/>
              <w:spacing w:line="390" w:lineRule="exact"/>
              <w:rPr>
                <w:rFonts w:hint="eastAsia" w:hAnsi="宋体" w:cs="宋体"/>
                <w:bCs/>
                <w:color w:val="auto"/>
                <w:szCs w:val="21"/>
                <w:highlight w:val="none"/>
              </w:rPr>
            </w:pPr>
            <w:r>
              <w:rPr>
                <w:rFonts w:hint="eastAsia" w:hAnsi="宋体" w:cs="宋体"/>
                <w:bCs/>
                <w:color w:val="auto"/>
                <w:szCs w:val="21"/>
                <w:highlight w:val="none"/>
              </w:rPr>
              <w:t>的规定，投标人在其投标文件中提供《中小企业声明函》</w:t>
            </w:r>
            <w:r>
              <w:rPr>
                <w:rFonts w:hint="eastAsia" w:hAnsi="宋体" w:cs="宋体"/>
                <w:bCs/>
                <w:color w:val="auto"/>
                <w:szCs w:val="21"/>
                <w:highlight w:val="none"/>
                <w:lang w:eastAsia="zh-CN"/>
              </w:rPr>
              <w:t>，</w:t>
            </w:r>
            <w:r>
              <w:rPr>
                <w:rFonts w:hint="eastAsia" w:hAnsi="宋体" w:cs="宋体"/>
                <w:bCs/>
                <w:color w:val="auto"/>
                <w:szCs w:val="21"/>
                <w:highlight w:val="none"/>
                <w:lang w:val="en-US" w:eastAsia="zh-CN"/>
              </w:rPr>
              <w:t>且其服务全部由符合政策要求的小型、微型企业承接的</w:t>
            </w:r>
            <w:r>
              <w:rPr>
                <w:rFonts w:hint="eastAsia" w:hAnsi="宋体" w:cs="宋体"/>
                <w:bCs/>
                <w:color w:val="auto"/>
                <w:szCs w:val="21"/>
                <w:highlight w:val="none"/>
              </w:rPr>
              <w:t>，对其投标价格给予</w:t>
            </w:r>
            <w:r>
              <w:rPr>
                <w:rFonts w:hint="eastAsia" w:hAnsi="宋体" w:cs="宋体"/>
                <w:bCs/>
                <w:color w:val="auto"/>
                <w:szCs w:val="21"/>
                <w:highlight w:val="none"/>
                <w:lang w:val="en-US" w:eastAsia="zh-CN"/>
              </w:rPr>
              <w:t>1</w:t>
            </w:r>
            <w:r>
              <w:rPr>
                <w:rFonts w:hint="eastAsia" w:hAnsi="宋体" w:cs="宋体"/>
                <w:bCs/>
                <w:color w:val="auto"/>
                <w:szCs w:val="21"/>
                <w:highlight w:val="none"/>
              </w:rPr>
              <w:t>0%的扣除。</w:t>
            </w:r>
          </w:p>
          <w:p w14:paraId="32C15AF5">
            <w:pPr>
              <w:pStyle w:val="13"/>
              <w:pageBreakBefore w:val="0"/>
              <w:widowControl w:val="0"/>
              <w:kinsoku/>
              <w:wordWrap/>
              <w:overflowPunct/>
              <w:topLinePunct w:val="0"/>
              <w:autoSpaceDE/>
              <w:autoSpaceDN/>
              <w:bidi w:val="0"/>
              <w:spacing w:line="390" w:lineRule="exact"/>
              <w:rPr>
                <w:rFonts w:hint="eastAsia" w:hAnsi="宋体" w:cs="宋体"/>
                <w:bCs/>
                <w:color w:val="auto"/>
                <w:szCs w:val="21"/>
                <w:highlight w:val="none"/>
              </w:rPr>
            </w:pPr>
            <w:r>
              <w:rPr>
                <w:rFonts w:hint="eastAsia"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5CE5A04">
            <w:pPr>
              <w:pStyle w:val="13"/>
              <w:pageBreakBefore w:val="0"/>
              <w:widowControl w:val="0"/>
              <w:kinsoku/>
              <w:wordWrap/>
              <w:overflowPunct/>
              <w:topLinePunct w:val="0"/>
              <w:autoSpaceDE/>
              <w:autoSpaceDN/>
              <w:bidi w:val="0"/>
              <w:spacing w:line="390" w:lineRule="exact"/>
              <w:rPr>
                <w:rFonts w:hint="eastAsia" w:hAnsi="宋体" w:cs="宋体"/>
                <w:bCs/>
                <w:color w:val="auto"/>
                <w:szCs w:val="21"/>
                <w:highlight w:val="none"/>
              </w:rPr>
            </w:pPr>
            <w:r>
              <w:rPr>
                <w:rFonts w:hint="eastAsia" w:hAnsi="宋体" w:cs="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03A0DA9">
            <w:pPr>
              <w:pStyle w:val="13"/>
              <w:pageBreakBefore w:val="0"/>
              <w:widowControl w:val="0"/>
              <w:kinsoku/>
              <w:wordWrap/>
              <w:overflowPunct/>
              <w:topLinePunct w:val="0"/>
              <w:autoSpaceDE/>
              <w:autoSpaceDN/>
              <w:bidi w:val="0"/>
              <w:spacing w:line="390" w:lineRule="exact"/>
              <w:rPr>
                <w:rFonts w:hint="eastAsia" w:hAnsi="宋体" w:cs="宋体"/>
                <w:bCs/>
                <w:color w:val="auto"/>
                <w:szCs w:val="21"/>
                <w:highlight w:val="none"/>
              </w:rPr>
            </w:pPr>
            <w:r>
              <w:rPr>
                <w:rFonts w:hint="eastAsia" w:hAnsi="宋体" w:cs="宋体"/>
                <w:bCs/>
                <w:color w:val="auto"/>
                <w:szCs w:val="21"/>
                <w:highlight w:val="none"/>
              </w:rPr>
              <w:t>（5）政策性扣除计算方法。</w:t>
            </w:r>
          </w:p>
          <w:p w14:paraId="074132A3">
            <w:pPr>
              <w:pStyle w:val="13"/>
              <w:pageBreakBefore w:val="0"/>
              <w:widowControl w:val="0"/>
              <w:kinsoku/>
              <w:wordWrap/>
              <w:overflowPunct/>
              <w:topLinePunct w:val="0"/>
              <w:autoSpaceDE/>
              <w:autoSpaceDN/>
              <w:bidi w:val="0"/>
              <w:spacing w:line="390" w:lineRule="exact"/>
              <w:rPr>
                <w:rFonts w:hint="eastAsia" w:hAnsi="宋体" w:cs="宋体"/>
                <w:bCs/>
                <w:color w:val="auto"/>
                <w:szCs w:val="21"/>
                <w:highlight w:val="none"/>
              </w:rPr>
            </w:pPr>
            <w:r>
              <w:rPr>
                <w:rFonts w:hint="eastAsia" w:hAnsi="宋体" w:cs="宋体"/>
                <w:bCs/>
                <w:color w:val="auto"/>
                <w:szCs w:val="21"/>
                <w:highlight w:val="none"/>
              </w:rPr>
              <w:t>投标人被评定为监狱企业或者残疾人福利性单位或者</w:t>
            </w:r>
            <w:r>
              <w:rPr>
                <w:rFonts w:hint="eastAsia" w:hAnsi="宋体" w:cs="宋体"/>
                <w:bCs/>
                <w:color w:val="auto"/>
                <w:szCs w:val="21"/>
                <w:highlight w:val="none"/>
                <w:lang w:eastAsia="zh-CN"/>
              </w:rPr>
              <w:t>其</w:t>
            </w:r>
            <w:r>
              <w:rPr>
                <w:rFonts w:hint="eastAsia" w:hAnsi="宋体" w:cs="宋体"/>
                <w:bCs/>
                <w:color w:val="auto"/>
                <w:szCs w:val="21"/>
                <w:highlight w:val="none"/>
                <w:lang w:val="en-US" w:eastAsia="zh-CN"/>
              </w:rPr>
              <w:t>服务全部由符合政策要求的小型、微型企业承接的</w:t>
            </w:r>
            <w:r>
              <w:rPr>
                <w:rFonts w:hint="eastAsia" w:hAnsi="宋体" w:cs="宋体"/>
                <w:bCs/>
                <w:color w:val="auto"/>
                <w:szCs w:val="21"/>
                <w:highlight w:val="none"/>
              </w:rPr>
              <w:t>，该投标人的投标报价给予</w:t>
            </w:r>
            <w:r>
              <w:rPr>
                <w:rFonts w:hint="eastAsia" w:hAnsi="宋体" w:cs="宋体"/>
                <w:bCs/>
                <w:color w:val="auto"/>
                <w:szCs w:val="21"/>
                <w:highlight w:val="none"/>
                <w:lang w:val="en-US" w:eastAsia="zh-CN"/>
              </w:rPr>
              <w:t xml:space="preserve"> 1</w:t>
            </w:r>
            <w:r>
              <w:rPr>
                <w:rFonts w:hint="eastAsia" w:hAnsi="宋体" w:cs="宋体"/>
                <w:bCs/>
                <w:color w:val="auto"/>
                <w:szCs w:val="21"/>
                <w:highlight w:val="none"/>
              </w:rPr>
              <w:t>0%</w:t>
            </w:r>
            <w:r>
              <w:rPr>
                <w:rFonts w:hint="eastAsia" w:hAnsi="宋体" w:cs="宋体"/>
                <w:bCs/>
                <w:color w:val="auto"/>
                <w:szCs w:val="21"/>
                <w:highlight w:val="none"/>
                <w:lang w:val="en-US" w:eastAsia="zh-CN"/>
              </w:rPr>
              <w:t xml:space="preserve"> </w:t>
            </w:r>
            <w:r>
              <w:rPr>
                <w:rFonts w:hint="eastAsia" w:hAnsi="宋体" w:cs="宋体"/>
                <w:bCs/>
                <w:color w:val="auto"/>
                <w:szCs w:val="21"/>
                <w:highlight w:val="none"/>
              </w:rPr>
              <w:t>的扣除，扣除后的价格为评标报价，即评标报价=投标报价×（</w:t>
            </w:r>
            <w:r>
              <w:rPr>
                <w:rFonts w:hint="eastAsia" w:hAnsi="宋体" w:cs="宋体"/>
                <w:bCs/>
                <w:color w:val="auto"/>
                <w:szCs w:val="21"/>
                <w:highlight w:val="none"/>
                <w:lang w:val="en-US" w:eastAsia="zh-CN"/>
              </w:rPr>
              <w:t>1</w:t>
            </w:r>
            <w:r>
              <w:rPr>
                <w:rFonts w:hint="eastAsia" w:hAnsi="宋体" w:cs="宋体"/>
                <w:bCs/>
                <w:color w:val="auto"/>
                <w:szCs w:val="21"/>
                <w:highlight w:val="none"/>
              </w:rPr>
              <w:t>-</w:t>
            </w:r>
            <w:r>
              <w:rPr>
                <w:rFonts w:hint="eastAsia" w:hAnsi="宋体" w:cs="宋体"/>
                <w:bCs/>
                <w:color w:val="auto"/>
                <w:szCs w:val="21"/>
                <w:highlight w:val="none"/>
                <w:lang w:val="en-US" w:eastAsia="zh-CN"/>
              </w:rPr>
              <w:t>1</w:t>
            </w:r>
            <w:r>
              <w:rPr>
                <w:rFonts w:hint="eastAsia" w:hAnsi="宋体" w:cs="宋体"/>
                <w:bCs/>
                <w:color w:val="auto"/>
                <w:szCs w:val="21"/>
                <w:highlight w:val="none"/>
              </w:rPr>
              <w:t xml:space="preserve">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hAnsi="宋体" w:cs="宋体"/>
                <w:bCs/>
                <w:color w:val="auto"/>
                <w:szCs w:val="21"/>
                <w:highlight w:val="none"/>
                <w:lang w:val="en-US" w:eastAsia="zh-CN"/>
              </w:rPr>
              <w:t>6</w:t>
            </w:r>
            <w:r>
              <w:rPr>
                <w:rFonts w:hint="eastAsia" w:hAnsi="宋体" w:cs="宋体"/>
                <w:bCs/>
                <w:color w:val="auto"/>
                <w:szCs w:val="21"/>
                <w:highlight w:val="none"/>
              </w:rPr>
              <w:t>%的扣除，用扣除后的价格参加评审，扣除后的价格为评标</w:t>
            </w:r>
            <w:r>
              <w:rPr>
                <w:rFonts w:hint="eastAsia" w:hAnsi="宋体" w:cs="宋体"/>
                <w:bCs/>
                <w:color w:val="auto"/>
                <w:szCs w:val="21"/>
                <w:highlight w:val="none"/>
                <w:lang w:eastAsia="zh-CN"/>
              </w:rPr>
              <w:t>报</w:t>
            </w:r>
            <w:r>
              <w:rPr>
                <w:rFonts w:hint="eastAsia" w:hAnsi="宋体" w:cs="宋体"/>
                <w:bCs/>
                <w:color w:val="auto"/>
                <w:szCs w:val="21"/>
                <w:highlight w:val="none"/>
              </w:rPr>
              <w:t>价，即评标报价=投标报价×（1</w:t>
            </w:r>
            <w:r>
              <w:rPr>
                <w:rFonts w:hint="eastAsia" w:hAnsi="宋体" w:cs="宋体"/>
                <w:bCs/>
                <w:color w:val="auto"/>
                <w:szCs w:val="21"/>
                <w:highlight w:val="none"/>
                <w:lang w:eastAsia="zh-CN"/>
              </w:rPr>
              <w:t>－</w:t>
            </w:r>
            <w:r>
              <w:rPr>
                <w:rFonts w:hint="eastAsia" w:hAnsi="宋体" w:cs="宋体"/>
                <w:bCs/>
                <w:color w:val="auto"/>
                <w:szCs w:val="21"/>
                <w:highlight w:val="none"/>
                <w:lang w:val="en-US" w:eastAsia="zh-CN"/>
              </w:rPr>
              <w:t>6</w:t>
            </w:r>
            <w:r>
              <w:rPr>
                <w:rFonts w:hint="eastAsia" w:hAnsi="宋体" w:cs="宋体"/>
                <w:bCs/>
                <w:color w:val="auto"/>
                <w:szCs w:val="21"/>
                <w:highlight w:val="none"/>
              </w:rPr>
              <w:t>%）；除上述情况外，评标报价=投标报价。</w:t>
            </w:r>
          </w:p>
          <w:p w14:paraId="214342DD">
            <w:pPr>
              <w:pStyle w:val="13"/>
              <w:pageBreakBefore w:val="0"/>
              <w:widowControl w:val="0"/>
              <w:kinsoku/>
              <w:wordWrap/>
              <w:overflowPunct/>
              <w:topLinePunct w:val="0"/>
              <w:autoSpaceDE/>
              <w:autoSpaceDN/>
              <w:bidi w:val="0"/>
              <w:spacing w:line="390" w:lineRule="exact"/>
              <w:rPr>
                <w:rFonts w:hint="eastAsia" w:hAnsi="宋体" w:cs="宋体"/>
                <w:bCs/>
                <w:color w:val="auto"/>
                <w:szCs w:val="21"/>
                <w:highlight w:val="none"/>
              </w:rPr>
            </w:pPr>
            <w:r>
              <w:rPr>
                <w:rFonts w:hint="eastAsia" w:hAnsi="宋体" w:cs="宋体"/>
                <w:bCs/>
                <w:color w:val="auto"/>
                <w:szCs w:val="21"/>
                <w:highlight w:val="none"/>
              </w:rPr>
              <w:t>（6）满足招标文件要求且评标报价最低的评标报价为评标基准价，基准价得分为</w:t>
            </w:r>
            <w:r>
              <w:rPr>
                <w:rFonts w:hint="eastAsia" w:hAnsi="宋体" w:cs="宋体"/>
                <w:bCs/>
                <w:color w:val="auto"/>
                <w:szCs w:val="21"/>
                <w:highlight w:val="none"/>
                <w:lang w:val="en-US" w:eastAsia="zh-CN"/>
              </w:rPr>
              <w:t>10</w:t>
            </w:r>
            <w:r>
              <w:rPr>
                <w:rFonts w:hint="eastAsia" w:hAnsi="宋体" w:cs="宋体"/>
                <w:bCs/>
                <w:color w:val="auto"/>
                <w:szCs w:val="21"/>
                <w:highlight w:val="none"/>
              </w:rPr>
              <w:t>分。</w:t>
            </w:r>
          </w:p>
          <w:p w14:paraId="0A3A0489">
            <w:pPr>
              <w:pStyle w:val="13"/>
              <w:pageBreakBefore w:val="0"/>
              <w:widowControl w:val="0"/>
              <w:kinsoku/>
              <w:wordWrap/>
              <w:overflowPunct/>
              <w:topLinePunct w:val="0"/>
              <w:autoSpaceDE/>
              <w:autoSpaceDN/>
              <w:bidi w:val="0"/>
              <w:spacing w:line="390" w:lineRule="exact"/>
              <w:rPr>
                <w:rFonts w:hint="eastAsia" w:hAnsi="宋体" w:cs="宋体"/>
                <w:bCs/>
                <w:color w:val="auto"/>
                <w:szCs w:val="21"/>
                <w:highlight w:val="none"/>
              </w:rPr>
            </w:pPr>
            <w:r>
              <w:rPr>
                <w:rFonts w:hint="eastAsia" w:hAnsi="宋体" w:cs="宋体"/>
                <w:bCs/>
                <w:color w:val="auto"/>
                <w:szCs w:val="21"/>
                <w:highlight w:val="none"/>
              </w:rPr>
              <w:t xml:space="preserve">（7）价格分计算公式：        </w:t>
            </w:r>
          </w:p>
          <w:p w14:paraId="2701C30E">
            <w:pPr>
              <w:pStyle w:val="13"/>
              <w:pageBreakBefore w:val="0"/>
              <w:widowControl w:val="0"/>
              <w:kinsoku/>
              <w:wordWrap/>
              <w:overflowPunct/>
              <w:topLinePunct w:val="0"/>
              <w:autoSpaceDE/>
              <w:autoSpaceDN/>
              <w:bidi w:val="0"/>
              <w:spacing w:line="390" w:lineRule="exact"/>
              <w:rPr>
                <w:rFonts w:hAnsi="宋体" w:cs="宋体"/>
                <w:bCs/>
                <w:color w:val="auto"/>
                <w:szCs w:val="21"/>
                <w:highlight w:val="none"/>
              </w:rPr>
            </w:pPr>
            <w:r>
              <w:rPr>
                <w:rFonts w:hint="eastAsia" w:hAnsi="宋体" w:cs="宋体"/>
                <w:bCs/>
                <w:color w:val="auto"/>
                <w:szCs w:val="21"/>
                <w:highlight w:val="none"/>
                <w:lang w:val="en-US" w:eastAsia="zh-CN"/>
              </w:rPr>
              <w:t>价格分=(评标基准价／评标报价)×10分</w:t>
            </w:r>
          </w:p>
        </w:tc>
      </w:tr>
      <w:tr w14:paraId="429B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598" w:type="dxa"/>
            <w:vMerge w:val="restart"/>
            <w:vAlign w:val="center"/>
          </w:tcPr>
          <w:p w14:paraId="6BBE4C2C">
            <w:pPr>
              <w:pageBreakBefore w:val="0"/>
              <w:widowControl w:val="0"/>
              <w:kinsoku/>
              <w:wordWrap/>
              <w:overflowPunct/>
              <w:topLinePunct w:val="0"/>
              <w:autoSpaceDE/>
              <w:autoSpaceDN/>
              <w:bidi w:val="0"/>
              <w:adjustRightInd w:val="0"/>
              <w:spacing w:line="39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145" w:type="dxa"/>
            <w:vMerge w:val="restart"/>
            <w:vAlign w:val="center"/>
          </w:tcPr>
          <w:p w14:paraId="3C206E5B">
            <w:pPr>
              <w:pageBreakBefore w:val="0"/>
              <w:widowControl w:val="0"/>
              <w:kinsoku/>
              <w:wordWrap/>
              <w:overflowPunct/>
              <w:topLinePunct w:val="0"/>
              <w:autoSpaceDE/>
              <w:autoSpaceDN/>
              <w:bidi w:val="0"/>
              <w:adjustRightInd w:val="0"/>
              <w:spacing w:line="390" w:lineRule="exact"/>
              <w:ind w:left="-105" w:leftChars="-50" w:right="-105" w:rightChars="-50"/>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技术分</w:t>
            </w:r>
          </w:p>
          <w:p w14:paraId="342443BA">
            <w:pPr>
              <w:pageBreakBefore w:val="0"/>
              <w:widowControl w:val="0"/>
              <w:kinsoku/>
              <w:wordWrap/>
              <w:overflowPunct/>
              <w:topLinePunct w:val="0"/>
              <w:autoSpaceDE/>
              <w:autoSpaceDN/>
              <w:bidi w:val="0"/>
              <w:adjustRightInd w:val="0"/>
              <w:spacing w:line="390" w:lineRule="exact"/>
              <w:jc w:val="center"/>
              <w:textAlignment w:val="baseline"/>
              <w:rPr>
                <w:rFonts w:ascii="宋体" w:hAnsi="宋体" w:cs="宋体"/>
                <w:b/>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满分69</w:t>
            </w:r>
            <w:r>
              <w:rPr>
                <w:rFonts w:hint="eastAsia" w:ascii="宋体" w:hAnsi="宋体" w:cs="宋体"/>
                <w:bCs/>
                <w:color w:val="auto"/>
                <w:szCs w:val="21"/>
                <w:highlight w:val="none"/>
              </w:rPr>
              <w:t>分）</w:t>
            </w:r>
          </w:p>
        </w:tc>
        <w:tc>
          <w:tcPr>
            <w:tcW w:w="1216" w:type="dxa"/>
            <w:vAlign w:val="center"/>
          </w:tcPr>
          <w:p w14:paraId="0A05B74D">
            <w:pPr>
              <w:pageBreakBefore w:val="0"/>
              <w:widowControl w:val="0"/>
              <w:kinsoku/>
              <w:wordWrap/>
              <w:overflowPunct/>
              <w:topLinePunct w:val="0"/>
              <w:autoSpaceDE/>
              <w:autoSpaceDN/>
              <w:bidi w:val="0"/>
              <w:adjustRightInd w:val="0"/>
              <w:snapToGrid w:val="0"/>
              <w:spacing w:line="390" w:lineRule="exact"/>
              <w:jc w:val="center"/>
              <w:textAlignment w:val="baseline"/>
              <w:rPr>
                <w:rFonts w:ascii="宋体" w:hAnsi="宋体" w:cs="宋体"/>
                <w:bCs/>
                <w:color w:val="auto"/>
                <w:szCs w:val="21"/>
                <w:highlight w:val="none"/>
              </w:rPr>
            </w:pPr>
            <w:r>
              <w:rPr>
                <w:rFonts w:hint="eastAsia" w:ascii="宋体" w:hAnsi="宋体" w:cs="宋体"/>
                <w:color w:val="auto"/>
                <w:szCs w:val="21"/>
                <w:highlight w:val="none"/>
              </w:rPr>
              <w:t>（客观）服务需求指标</w:t>
            </w:r>
            <w:r>
              <w:rPr>
                <w:rFonts w:hint="eastAsia" w:ascii="宋体" w:hAnsi="宋体" w:cs="宋体"/>
                <w:bCs/>
                <w:color w:val="auto"/>
                <w:szCs w:val="21"/>
                <w:highlight w:val="none"/>
              </w:rPr>
              <w:t>响应程度分</w:t>
            </w:r>
          </w:p>
          <w:p w14:paraId="5C08F28D">
            <w:pPr>
              <w:pageBreakBefore w:val="0"/>
              <w:widowControl w:val="0"/>
              <w:kinsoku/>
              <w:wordWrap/>
              <w:overflowPunct/>
              <w:topLinePunct w:val="0"/>
              <w:autoSpaceDE/>
              <w:autoSpaceDN/>
              <w:bidi w:val="0"/>
              <w:snapToGrid w:val="0"/>
              <w:spacing w:line="390" w:lineRule="exact"/>
              <w:jc w:val="center"/>
              <w:rPr>
                <w:rFonts w:ascii="宋体" w:hAnsi="宋体" w:cs="宋体"/>
                <w:b/>
                <w:color w:val="auto"/>
                <w:szCs w:val="21"/>
                <w:highlight w:val="none"/>
              </w:rPr>
            </w:pPr>
            <w:r>
              <w:rPr>
                <w:rFonts w:hint="eastAsia" w:ascii="宋体" w:hAnsi="宋体" w:cs="宋体"/>
                <w:bCs/>
                <w:color w:val="auto"/>
                <w:szCs w:val="21"/>
                <w:highlight w:val="none"/>
              </w:rPr>
              <w:t>（15分）</w:t>
            </w:r>
          </w:p>
        </w:tc>
        <w:tc>
          <w:tcPr>
            <w:tcW w:w="7198" w:type="dxa"/>
            <w:vAlign w:val="center"/>
          </w:tcPr>
          <w:p w14:paraId="37CB31F2">
            <w:pPr>
              <w:pageBreakBefore w:val="0"/>
              <w:widowControl w:val="0"/>
              <w:kinsoku/>
              <w:wordWrap/>
              <w:overflowPunct/>
              <w:topLinePunct w:val="0"/>
              <w:autoSpaceDE/>
              <w:autoSpaceDN/>
              <w:bidi w:val="0"/>
              <w:spacing w:line="390" w:lineRule="exact"/>
              <w:rPr>
                <w:rFonts w:ascii="宋体" w:hAnsi="宋体" w:cs="宋体"/>
                <w:bCs/>
                <w:color w:val="auto"/>
                <w:spacing w:val="-2"/>
                <w:szCs w:val="21"/>
                <w:highlight w:val="none"/>
              </w:rPr>
            </w:pPr>
            <w:r>
              <w:rPr>
                <w:rFonts w:hint="eastAsia" w:ascii="宋体" w:hAnsi="宋体" w:cs="宋体"/>
                <w:bCs/>
                <w:color w:val="auto"/>
                <w:spacing w:val="-2"/>
                <w:szCs w:val="21"/>
                <w:highlight w:val="none"/>
              </w:rPr>
              <w:t>根据投标文件对服务要求的响应程度打分。</w:t>
            </w:r>
          </w:p>
          <w:p w14:paraId="6F58A552">
            <w:pPr>
              <w:pStyle w:val="13"/>
              <w:pageBreakBefore w:val="0"/>
              <w:widowControl w:val="0"/>
              <w:kinsoku/>
              <w:wordWrap/>
              <w:overflowPunct/>
              <w:topLinePunct w:val="0"/>
              <w:autoSpaceDE/>
              <w:autoSpaceDN/>
              <w:bidi w:val="0"/>
              <w:snapToGrid w:val="0"/>
              <w:spacing w:line="390" w:lineRule="exact"/>
              <w:rPr>
                <w:rFonts w:hAnsi="宋体" w:cs="宋体"/>
                <w:color w:val="auto"/>
                <w:szCs w:val="21"/>
                <w:highlight w:val="none"/>
              </w:rPr>
            </w:pPr>
            <w:r>
              <w:rPr>
                <w:rFonts w:hint="eastAsia" w:hAnsi="宋体" w:cs="宋体"/>
                <w:color w:val="auto"/>
                <w:szCs w:val="21"/>
                <w:highlight w:val="none"/>
              </w:rPr>
              <w:t>一档0分：一般参数指标有＞2项负偏离。</w:t>
            </w:r>
          </w:p>
          <w:p w14:paraId="37F6D524">
            <w:pPr>
              <w:pStyle w:val="13"/>
              <w:pageBreakBefore w:val="0"/>
              <w:widowControl w:val="0"/>
              <w:kinsoku/>
              <w:wordWrap/>
              <w:overflowPunct/>
              <w:topLinePunct w:val="0"/>
              <w:autoSpaceDE/>
              <w:autoSpaceDN/>
              <w:bidi w:val="0"/>
              <w:snapToGrid w:val="0"/>
              <w:spacing w:line="390" w:lineRule="exact"/>
              <w:rPr>
                <w:rFonts w:hAnsi="宋体" w:cs="宋体"/>
                <w:color w:val="auto"/>
                <w:szCs w:val="21"/>
                <w:highlight w:val="none"/>
              </w:rPr>
            </w:pPr>
            <w:r>
              <w:rPr>
                <w:rFonts w:hint="eastAsia" w:hAnsi="宋体" w:cs="宋体"/>
                <w:color w:val="auto"/>
                <w:szCs w:val="21"/>
                <w:highlight w:val="none"/>
              </w:rPr>
              <w:t>二档5分：一般参数指标有2项负偏离。</w:t>
            </w:r>
          </w:p>
          <w:p w14:paraId="3A3B9740">
            <w:pPr>
              <w:pStyle w:val="13"/>
              <w:pageBreakBefore w:val="0"/>
              <w:widowControl w:val="0"/>
              <w:kinsoku/>
              <w:wordWrap/>
              <w:overflowPunct/>
              <w:topLinePunct w:val="0"/>
              <w:autoSpaceDE/>
              <w:autoSpaceDN/>
              <w:bidi w:val="0"/>
              <w:snapToGrid w:val="0"/>
              <w:spacing w:line="390" w:lineRule="exact"/>
              <w:rPr>
                <w:rFonts w:hAnsi="宋体" w:cs="宋体"/>
                <w:color w:val="auto"/>
                <w:szCs w:val="21"/>
                <w:highlight w:val="none"/>
              </w:rPr>
            </w:pPr>
            <w:r>
              <w:rPr>
                <w:rFonts w:hint="eastAsia" w:hAnsi="宋体" w:cs="宋体"/>
                <w:color w:val="auto"/>
                <w:szCs w:val="21"/>
                <w:highlight w:val="none"/>
              </w:rPr>
              <w:t>三档10分：一般参数指标有1项负偏离。</w:t>
            </w:r>
          </w:p>
          <w:p w14:paraId="29A06E84">
            <w:pPr>
              <w:pStyle w:val="13"/>
              <w:pageBreakBefore w:val="0"/>
              <w:widowControl w:val="0"/>
              <w:kinsoku/>
              <w:wordWrap/>
              <w:overflowPunct/>
              <w:topLinePunct w:val="0"/>
              <w:autoSpaceDE/>
              <w:autoSpaceDN/>
              <w:bidi w:val="0"/>
              <w:snapToGrid w:val="0"/>
              <w:spacing w:line="390" w:lineRule="exact"/>
              <w:rPr>
                <w:rFonts w:hAnsi="宋体" w:cs="宋体"/>
                <w:color w:val="auto"/>
                <w:szCs w:val="21"/>
                <w:highlight w:val="none"/>
              </w:rPr>
            </w:pPr>
            <w:r>
              <w:rPr>
                <w:rFonts w:hint="eastAsia" w:hAnsi="宋体" w:cs="宋体"/>
                <w:color w:val="auto"/>
                <w:szCs w:val="21"/>
                <w:highlight w:val="none"/>
              </w:rPr>
              <w:t>四档15分：一般参数指标均无负偏离。</w:t>
            </w:r>
          </w:p>
          <w:p w14:paraId="583BF373">
            <w:pPr>
              <w:pStyle w:val="5"/>
              <w:pageBreakBefore w:val="0"/>
              <w:widowControl w:val="0"/>
              <w:tabs>
                <w:tab w:val="left" w:pos="2155"/>
              </w:tabs>
              <w:kinsoku/>
              <w:wordWrap/>
              <w:overflowPunct/>
              <w:topLinePunct w:val="0"/>
              <w:autoSpaceDE/>
              <w:autoSpaceDN/>
              <w:bidi w:val="0"/>
              <w:spacing w:line="390" w:lineRule="exac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注：一般参数指标指未标注“▲”的技术要求</w:t>
            </w:r>
          </w:p>
        </w:tc>
      </w:tr>
      <w:tr w14:paraId="254F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598" w:type="dxa"/>
            <w:vMerge w:val="continue"/>
            <w:vAlign w:val="center"/>
          </w:tcPr>
          <w:p w14:paraId="5F649191">
            <w:pPr>
              <w:pageBreakBefore w:val="0"/>
              <w:widowControl w:val="0"/>
              <w:kinsoku/>
              <w:wordWrap/>
              <w:overflowPunct/>
              <w:topLinePunct w:val="0"/>
              <w:autoSpaceDE/>
              <w:autoSpaceDN/>
              <w:bidi w:val="0"/>
              <w:adjustRightInd w:val="0"/>
              <w:spacing w:line="390" w:lineRule="exact"/>
              <w:jc w:val="center"/>
              <w:textAlignment w:val="baseline"/>
              <w:rPr>
                <w:rFonts w:ascii="宋体" w:hAnsi="宋体" w:cs="宋体"/>
                <w:b/>
                <w:color w:val="auto"/>
                <w:szCs w:val="21"/>
                <w:highlight w:val="none"/>
              </w:rPr>
            </w:pPr>
          </w:p>
        </w:tc>
        <w:tc>
          <w:tcPr>
            <w:tcW w:w="1145" w:type="dxa"/>
            <w:vMerge w:val="continue"/>
            <w:vAlign w:val="center"/>
          </w:tcPr>
          <w:p w14:paraId="0161EB22">
            <w:pPr>
              <w:pageBreakBefore w:val="0"/>
              <w:widowControl w:val="0"/>
              <w:kinsoku/>
              <w:wordWrap/>
              <w:overflowPunct/>
              <w:topLinePunct w:val="0"/>
              <w:autoSpaceDE/>
              <w:autoSpaceDN/>
              <w:bidi w:val="0"/>
              <w:adjustRightInd w:val="0"/>
              <w:spacing w:line="390" w:lineRule="exact"/>
              <w:jc w:val="center"/>
              <w:textAlignment w:val="baseline"/>
              <w:rPr>
                <w:rFonts w:ascii="宋体" w:hAnsi="宋体" w:cs="宋体"/>
                <w:b/>
                <w:color w:val="auto"/>
                <w:szCs w:val="21"/>
                <w:highlight w:val="none"/>
              </w:rPr>
            </w:pPr>
          </w:p>
        </w:tc>
        <w:tc>
          <w:tcPr>
            <w:tcW w:w="1216" w:type="dxa"/>
            <w:vAlign w:val="center"/>
          </w:tcPr>
          <w:p w14:paraId="649C5C2F">
            <w:pPr>
              <w:pageBreakBefore w:val="0"/>
              <w:widowControl w:val="0"/>
              <w:kinsoku/>
              <w:wordWrap/>
              <w:overflowPunct/>
              <w:topLinePunct w:val="0"/>
              <w:autoSpaceDE/>
              <w:autoSpaceDN/>
              <w:bidi w:val="0"/>
              <w:snapToGrid w:val="0"/>
              <w:spacing w:line="390" w:lineRule="exact"/>
              <w:jc w:val="center"/>
              <w:rPr>
                <w:rFonts w:ascii="宋体" w:hAnsi="宋体" w:cs="宋体"/>
                <w:bCs/>
                <w:color w:val="auto"/>
                <w:szCs w:val="21"/>
                <w:highlight w:val="none"/>
              </w:rPr>
            </w:pPr>
            <w:r>
              <w:rPr>
                <w:rFonts w:hint="eastAsia" w:ascii="宋体" w:hAnsi="宋体" w:cs="宋体"/>
                <w:color w:val="auto"/>
                <w:szCs w:val="21"/>
                <w:highlight w:val="none"/>
              </w:rPr>
              <w:t>（主观）</w:t>
            </w:r>
            <w:r>
              <w:rPr>
                <w:rFonts w:hint="eastAsia" w:ascii="宋体" w:hAnsi="宋体" w:cs="宋体"/>
                <w:bCs/>
                <w:color w:val="auto"/>
                <w:szCs w:val="21"/>
                <w:highlight w:val="none"/>
              </w:rPr>
              <w:t>技术方案设计分</w:t>
            </w:r>
          </w:p>
          <w:p w14:paraId="62A77325">
            <w:pPr>
              <w:pageBreakBefore w:val="0"/>
              <w:widowControl w:val="0"/>
              <w:kinsoku/>
              <w:wordWrap/>
              <w:overflowPunct/>
              <w:topLinePunct w:val="0"/>
              <w:autoSpaceDE/>
              <w:autoSpaceDN/>
              <w:bidi w:val="0"/>
              <w:snapToGrid w:val="0"/>
              <w:spacing w:line="390" w:lineRule="exact"/>
              <w:jc w:val="center"/>
              <w:rPr>
                <w:rFonts w:ascii="宋体" w:hAnsi="宋体" w:cs="宋体"/>
                <w:bCs/>
                <w:color w:val="auto"/>
                <w:szCs w:val="21"/>
                <w:highlight w:val="none"/>
              </w:rPr>
            </w:pPr>
            <w:r>
              <w:rPr>
                <w:rFonts w:hint="eastAsia" w:ascii="宋体" w:hAnsi="宋体" w:cs="宋体"/>
                <w:bCs/>
                <w:color w:val="auto"/>
                <w:szCs w:val="21"/>
                <w:highlight w:val="none"/>
              </w:rPr>
              <w:t>（21分）</w:t>
            </w:r>
          </w:p>
        </w:tc>
        <w:tc>
          <w:tcPr>
            <w:tcW w:w="7198" w:type="dxa"/>
            <w:vAlign w:val="center"/>
          </w:tcPr>
          <w:p w14:paraId="42D7B0D8">
            <w:pPr>
              <w:pageBreakBefore w:val="0"/>
              <w:widowControl w:val="0"/>
              <w:kinsoku/>
              <w:wordWrap/>
              <w:overflowPunct/>
              <w:topLinePunct w:val="0"/>
              <w:autoSpaceDE/>
              <w:autoSpaceDN/>
              <w:bidi w:val="0"/>
              <w:adjustRightInd w:val="0"/>
              <w:snapToGrid w:val="0"/>
              <w:spacing w:line="390" w:lineRule="exact"/>
              <w:jc w:val="left"/>
              <w:rPr>
                <w:rFonts w:ascii="宋体" w:hAnsi="宋体" w:cs="宋体"/>
                <w:color w:val="auto"/>
                <w:szCs w:val="21"/>
                <w:highlight w:val="none"/>
              </w:rPr>
            </w:pPr>
            <w:r>
              <w:rPr>
                <w:rFonts w:hint="eastAsia" w:ascii="宋体" w:hAnsi="宋体" w:cs="宋体"/>
                <w:color w:val="auto"/>
                <w:szCs w:val="21"/>
                <w:highlight w:val="none"/>
              </w:rPr>
              <w:t>一档0分：方案不具备或投标文件内容未能体现技术措施的合理性、可行性、针对性，未体现或不具备保障系统正常运行的技术措施先进性。</w:t>
            </w:r>
          </w:p>
          <w:p w14:paraId="2C4EAB45">
            <w:pPr>
              <w:pageBreakBefore w:val="0"/>
              <w:widowControl w:val="0"/>
              <w:kinsoku/>
              <w:wordWrap/>
              <w:overflowPunct/>
              <w:topLinePunct w:val="0"/>
              <w:autoSpaceDE/>
              <w:autoSpaceDN/>
              <w:bidi w:val="0"/>
              <w:adjustRightInd w:val="0"/>
              <w:snapToGrid w:val="0"/>
              <w:spacing w:line="390" w:lineRule="exact"/>
              <w:jc w:val="left"/>
              <w:rPr>
                <w:rFonts w:ascii="宋体" w:hAnsi="宋体" w:cs="宋体"/>
                <w:color w:val="auto"/>
                <w:szCs w:val="21"/>
                <w:highlight w:val="none"/>
              </w:rPr>
            </w:pPr>
            <w:r>
              <w:rPr>
                <w:rFonts w:hint="eastAsia" w:ascii="宋体" w:hAnsi="宋体" w:cs="宋体"/>
                <w:color w:val="auto"/>
                <w:szCs w:val="21"/>
                <w:highlight w:val="none"/>
              </w:rPr>
              <w:t>二档7分：方案详细合理，技术措施的可行性贴合本项目实际需求，对本项目的技术重点、难点有了解和认识，制定出了能够实现项目基本需求的严密性要求的作业流程，项目实施的质量控制、进度控制的目标、方法、措施对于本项目的实际情况及采购单位的使用需求具有</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针对性。</w:t>
            </w:r>
          </w:p>
          <w:p w14:paraId="144CCBCC">
            <w:pPr>
              <w:pageBreakBefore w:val="0"/>
              <w:widowControl w:val="0"/>
              <w:kinsoku/>
              <w:wordWrap/>
              <w:overflowPunct/>
              <w:topLinePunct w:val="0"/>
              <w:autoSpaceDE/>
              <w:autoSpaceDN/>
              <w:bidi w:val="0"/>
              <w:adjustRightInd w:val="0"/>
              <w:snapToGrid w:val="0"/>
              <w:spacing w:line="390" w:lineRule="exact"/>
              <w:jc w:val="left"/>
              <w:rPr>
                <w:rFonts w:ascii="宋体" w:hAnsi="宋体" w:cs="宋体"/>
                <w:color w:val="auto"/>
                <w:szCs w:val="21"/>
                <w:highlight w:val="none"/>
              </w:rPr>
            </w:pPr>
            <w:r>
              <w:rPr>
                <w:rFonts w:hint="eastAsia" w:ascii="宋体" w:hAnsi="宋体" w:cs="宋体"/>
                <w:color w:val="auto"/>
                <w:szCs w:val="21"/>
                <w:highlight w:val="none"/>
              </w:rPr>
              <w:t>三档14分：在满足二档基础上，方案详细合理、目标明确，对采购单位现有系统环境及运行情况具有全方面的调查和了解，针对本项目的技术重点、难点提出的质量控制、进度控制方案详细合理、针对性明确而论述充分，制定的作业流程能够满足项目需求，能够保证维护目标的正常运行。</w:t>
            </w:r>
          </w:p>
          <w:p w14:paraId="06CE6171">
            <w:pPr>
              <w:pageBreakBefore w:val="0"/>
              <w:widowControl w:val="0"/>
              <w:kinsoku/>
              <w:wordWrap/>
              <w:overflowPunct/>
              <w:topLinePunct w:val="0"/>
              <w:autoSpaceDE/>
              <w:autoSpaceDN/>
              <w:bidi w:val="0"/>
              <w:adjustRightInd w:val="0"/>
              <w:snapToGrid w:val="0"/>
              <w:spacing w:line="390" w:lineRule="exact"/>
              <w:textAlignment w:val="baseline"/>
              <w:rPr>
                <w:rFonts w:ascii="宋体" w:hAnsi="宋体" w:cs="宋体"/>
                <w:color w:val="auto"/>
                <w:kern w:val="0"/>
                <w:szCs w:val="21"/>
                <w:highlight w:val="none"/>
              </w:rPr>
            </w:pPr>
            <w:r>
              <w:rPr>
                <w:rFonts w:hint="eastAsia" w:ascii="宋体" w:hAnsi="宋体" w:cs="宋体"/>
                <w:color w:val="auto"/>
                <w:szCs w:val="21"/>
                <w:highlight w:val="none"/>
              </w:rPr>
              <w:t>四档21分：在三档基础上，能够准确理解本项目的建设背景、目标、范围；能够把握本项目的技术重点、难点；制订明确的作业流程，详细制订技术方案，所用技术成熟先进；提出了专业、可行的质量控制、进度控制的目标、方法、措施；完全满足国家规范和采购单位的实际使用需求；能够提出有利于该项目进展的意见和建议，具有前瞻性；所提供的文件材料对服务设计方案的落地具备充分保障性。</w:t>
            </w:r>
          </w:p>
        </w:tc>
      </w:tr>
      <w:tr w14:paraId="537E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vAlign w:val="center"/>
          </w:tcPr>
          <w:p w14:paraId="5B06CAA5">
            <w:pPr>
              <w:pageBreakBefore w:val="0"/>
              <w:widowControl w:val="0"/>
              <w:kinsoku/>
              <w:wordWrap/>
              <w:overflowPunct/>
              <w:topLinePunct w:val="0"/>
              <w:autoSpaceDE/>
              <w:autoSpaceDN/>
              <w:bidi w:val="0"/>
              <w:adjustRightInd w:val="0"/>
              <w:spacing w:line="390" w:lineRule="exact"/>
              <w:jc w:val="center"/>
              <w:textAlignment w:val="baseline"/>
              <w:rPr>
                <w:rFonts w:ascii="宋体" w:hAnsi="宋体" w:cs="宋体"/>
                <w:b/>
                <w:color w:val="auto"/>
                <w:szCs w:val="21"/>
                <w:highlight w:val="none"/>
              </w:rPr>
            </w:pPr>
          </w:p>
        </w:tc>
        <w:tc>
          <w:tcPr>
            <w:tcW w:w="1145" w:type="dxa"/>
            <w:vMerge w:val="continue"/>
            <w:vAlign w:val="center"/>
          </w:tcPr>
          <w:p w14:paraId="5A7BEFB6">
            <w:pPr>
              <w:pageBreakBefore w:val="0"/>
              <w:widowControl w:val="0"/>
              <w:kinsoku/>
              <w:wordWrap/>
              <w:overflowPunct/>
              <w:topLinePunct w:val="0"/>
              <w:autoSpaceDE/>
              <w:autoSpaceDN/>
              <w:bidi w:val="0"/>
              <w:adjustRightInd w:val="0"/>
              <w:spacing w:line="390" w:lineRule="exact"/>
              <w:jc w:val="center"/>
              <w:textAlignment w:val="baseline"/>
              <w:rPr>
                <w:rFonts w:ascii="宋体" w:hAnsi="宋体" w:cs="宋体"/>
                <w:b/>
                <w:color w:val="auto"/>
                <w:szCs w:val="21"/>
                <w:highlight w:val="none"/>
              </w:rPr>
            </w:pPr>
          </w:p>
        </w:tc>
        <w:tc>
          <w:tcPr>
            <w:tcW w:w="1216" w:type="dxa"/>
            <w:vAlign w:val="center"/>
          </w:tcPr>
          <w:p w14:paraId="4B75DB1E">
            <w:pPr>
              <w:pageBreakBefore w:val="0"/>
              <w:widowControl w:val="0"/>
              <w:kinsoku/>
              <w:wordWrap/>
              <w:overflowPunct/>
              <w:topLinePunct w:val="0"/>
              <w:autoSpaceDE/>
              <w:autoSpaceDN/>
              <w:bidi w:val="0"/>
              <w:spacing w:line="390" w:lineRule="exact"/>
              <w:jc w:val="center"/>
              <w:rPr>
                <w:rFonts w:ascii="宋体" w:hAnsi="宋体" w:cs="宋体"/>
                <w:bCs/>
                <w:color w:val="auto"/>
                <w:szCs w:val="21"/>
                <w:highlight w:val="none"/>
              </w:rPr>
            </w:pPr>
            <w:r>
              <w:rPr>
                <w:rFonts w:hint="eastAsia" w:ascii="宋体" w:hAnsi="宋体" w:cs="宋体"/>
                <w:color w:val="auto"/>
                <w:szCs w:val="21"/>
                <w:highlight w:val="none"/>
              </w:rPr>
              <w:t>（主观）</w:t>
            </w:r>
            <w:r>
              <w:rPr>
                <w:rFonts w:hint="eastAsia" w:ascii="宋体" w:hAnsi="宋体" w:cs="宋体"/>
                <w:bCs/>
                <w:color w:val="auto"/>
                <w:szCs w:val="21"/>
                <w:highlight w:val="none"/>
              </w:rPr>
              <w:t>实施（组织）方案分</w:t>
            </w:r>
          </w:p>
          <w:p w14:paraId="61330071">
            <w:pPr>
              <w:pageBreakBefore w:val="0"/>
              <w:widowControl w:val="0"/>
              <w:kinsoku/>
              <w:wordWrap/>
              <w:overflowPunct/>
              <w:topLinePunct w:val="0"/>
              <w:autoSpaceDE/>
              <w:autoSpaceDN/>
              <w:bidi w:val="0"/>
              <w:snapToGrid w:val="0"/>
              <w:spacing w:line="390" w:lineRule="exact"/>
              <w:jc w:val="center"/>
              <w:rPr>
                <w:rFonts w:ascii="宋体" w:hAnsi="宋体" w:cs="宋体"/>
                <w:bCs/>
                <w:color w:val="auto"/>
                <w:szCs w:val="21"/>
                <w:highlight w:val="none"/>
              </w:rPr>
            </w:pPr>
            <w:r>
              <w:rPr>
                <w:rFonts w:hint="eastAsia" w:ascii="宋体" w:hAnsi="宋体" w:cs="宋体"/>
                <w:bCs/>
                <w:color w:val="auto"/>
                <w:szCs w:val="21"/>
                <w:highlight w:val="none"/>
              </w:rPr>
              <w:t>（21分）</w:t>
            </w:r>
          </w:p>
        </w:tc>
        <w:tc>
          <w:tcPr>
            <w:tcW w:w="7198" w:type="dxa"/>
            <w:vAlign w:val="center"/>
          </w:tcPr>
          <w:p w14:paraId="65C42A81">
            <w:pPr>
              <w:pageBreakBefore w:val="0"/>
              <w:widowControl w:val="0"/>
              <w:kinsoku/>
              <w:wordWrap/>
              <w:overflowPunct/>
              <w:topLinePunct w:val="0"/>
              <w:autoSpaceDE/>
              <w:autoSpaceDN/>
              <w:bidi w:val="0"/>
              <w:adjustRightInd w:val="0"/>
              <w:snapToGrid w:val="0"/>
              <w:spacing w:line="390" w:lineRule="exact"/>
              <w:jc w:val="left"/>
              <w:rPr>
                <w:rFonts w:ascii="宋体" w:hAnsi="宋体" w:cs="宋体"/>
                <w:color w:val="auto"/>
                <w:szCs w:val="21"/>
                <w:highlight w:val="none"/>
              </w:rPr>
            </w:pPr>
            <w:r>
              <w:rPr>
                <w:rFonts w:hint="eastAsia" w:ascii="宋体" w:hAnsi="宋体" w:cs="宋体"/>
                <w:color w:val="auto"/>
                <w:szCs w:val="21"/>
                <w:highlight w:val="none"/>
              </w:rPr>
              <w:t>一档0分：未提供明确的方案或方案过于简单而缺乏可行性论据，无法满足项目基本需求；或者表述内容有冗余而不清晰。</w:t>
            </w:r>
          </w:p>
          <w:p w14:paraId="3FE65DBE">
            <w:pPr>
              <w:pageBreakBefore w:val="0"/>
              <w:widowControl w:val="0"/>
              <w:kinsoku/>
              <w:wordWrap/>
              <w:overflowPunct/>
              <w:topLinePunct w:val="0"/>
              <w:autoSpaceDE/>
              <w:autoSpaceDN/>
              <w:bidi w:val="0"/>
              <w:adjustRightInd w:val="0"/>
              <w:snapToGrid w:val="0"/>
              <w:spacing w:line="390" w:lineRule="exact"/>
              <w:jc w:val="left"/>
              <w:rPr>
                <w:rFonts w:ascii="宋体" w:hAnsi="宋体" w:cs="宋体"/>
                <w:color w:val="auto"/>
                <w:szCs w:val="21"/>
                <w:highlight w:val="none"/>
              </w:rPr>
            </w:pPr>
            <w:r>
              <w:rPr>
                <w:rFonts w:hint="eastAsia" w:ascii="宋体" w:hAnsi="宋体" w:cs="宋体"/>
                <w:color w:val="auto"/>
                <w:szCs w:val="21"/>
                <w:highlight w:val="none"/>
              </w:rPr>
              <w:t>二档7分：具有明确的实施方案，满足采购文件基本实施要求，项目管理组织机构满足基本管理效率效果要求。</w:t>
            </w:r>
          </w:p>
          <w:p w14:paraId="2693DEDF">
            <w:pPr>
              <w:pageBreakBefore w:val="0"/>
              <w:widowControl w:val="0"/>
              <w:kinsoku/>
              <w:wordWrap/>
              <w:overflowPunct/>
              <w:topLinePunct w:val="0"/>
              <w:autoSpaceDE/>
              <w:autoSpaceDN/>
              <w:bidi w:val="0"/>
              <w:adjustRightInd w:val="0"/>
              <w:snapToGrid w:val="0"/>
              <w:spacing w:line="390" w:lineRule="exact"/>
              <w:jc w:val="left"/>
              <w:rPr>
                <w:rFonts w:ascii="宋体" w:hAnsi="宋体" w:cs="宋体"/>
                <w:color w:val="auto"/>
                <w:szCs w:val="21"/>
                <w:highlight w:val="none"/>
              </w:rPr>
            </w:pPr>
            <w:r>
              <w:rPr>
                <w:rFonts w:hint="eastAsia" w:ascii="宋体" w:hAnsi="宋体" w:cs="宋体"/>
                <w:color w:val="auto"/>
                <w:szCs w:val="21"/>
                <w:highlight w:val="none"/>
              </w:rPr>
              <w:t>三档14分：在满足二档基础上，实施方案完整清晰，能够较好地满足采购单位的使用要求，项目实施计划完整可行，项目管理组织机构及人员职能清晰，驻场人员配置合理。</w:t>
            </w:r>
          </w:p>
          <w:p w14:paraId="0067F182">
            <w:pPr>
              <w:pageBreakBefore w:val="0"/>
              <w:widowControl w:val="0"/>
              <w:kinsoku/>
              <w:wordWrap/>
              <w:overflowPunct/>
              <w:topLinePunct w:val="0"/>
              <w:autoSpaceDE/>
              <w:autoSpaceDN/>
              <w:bidi w:val="0"/>
              <w:adjustRightInd w:val="0"/>
              <w:snapToGrid w:val="0"/>
              <w:spacing w:line="390" w:lineRule="exact"/>
              <w:jc w:val="left"/>
              <w:rPr>
                <w:rFonts w:ascii="宋体" w:hAnsi="宋体" w:cs="宋体"/>
                <w:color w:val="auto"/>
                <w:kern w:val="0"/>
                <w:szCs w:val="21"/>
                <w:highlight w:val="none"/>
              </w:rPr>
            </w:pPr>
            <w:r>
              <w:rPr>
                <w:rFonts w:hint="eastAsia" w:ascii="宋体" w:hAnsi="宋体" w:cs="宋体"/>
                <w:color w:val="auto"/>
                <w:szCs w:val="21"/>
                <w:highlight w:val="none"/>
              </w:rPr>
              <w:t>四档21分：在三档基础上，实施方案完整、清晰、表述简练而明确，完全满足采购单位的实际使用要求且具备利于项目目标实现的针对性、可实施性充分，项目实施计划完整明晰，有完善、详细的各项管控措施，项目管理组织机构及人员职能清晰可控（能形成充分的突发性疑难技术情况技术团队管理构架及配套人员调度基础有充分的应对），驻场人员的配置能够保证保质、保量地完成采购单位需求，应对突发状况的服务响应能力有充分保障，且落地实施的保障性能在投标文件体现充分；整体方案的落地具备充分保障性。</w:t>
            </w:r>
          </w:p>
        </w:tc>
      </w:tr>
      <w:tr w14:paraId="3044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vAlign w:val="center"/>
          </w:tcPr>
          <w:p w14:paraId="5F5A2D12">
            <w:pPr>
              <w:pageBreakBefore w:val="0"/>
              <w:widowControl w:val="0"/>
              <w:kinsoku/>
              <w:wordWrap/>
              <w:overflowPunct/>
              <w:topLinePunct w:val="0"/>
              <w:autoSpaceDE/>
              <w:autoSpaceDN/>
              <w:bidi w:val="0"/>
              <w:adjustRightInd w:val="0"/>
              <w:spacing w:line="390" w:lineRule="exact"/>
              <w:jc w:val="center"/>
              <w:textAlignment w:val="baseline"/>
              <w:rPr>
                <w:rFonts w:ascii="宋体" w:hAnsi="宋体" w:cs="宋体"/>
                <w:b/>
                <w:color w:val="auto"/>
                <w:szCs w:val="21"/>
                <w:highlight w:val="none"/>
              </w:rPr>
            </w:pPr>
          </w:p>
        </w:tc>
        <w:tc>
          <w:tcPr>
            <w:tcW w:w="1145" w:type="dxa"/>
            <w:vMerge w:val="continue"/>
            <w:vAlign w:val="center"/>
          </w:tcPr>
          <w:p w14:paraId="3C15172B">
            <w:pPr>
              <w:pageBreakBefore w:val="0"/>
              <w:widowControl w:val="0"/>
              <w:kinsoku/>
              <w:wordWrap/>
              <w:overflowPunct/>
              <w:topLinePunct w:val="0"/>
              <w:autoSpaceDE/>
              <w:autoSpaceDN/>
              <w:bidi w:val="0"/>
              <w:adjustRightInd w:val="0"/>
              <w:spacing w:line="390" w:lineRule="exact"/>
              <w:jc w:val="center"/>
              <w:textAlignment w:val="baseline"/>
              <w:rPr>
                <w:rFonts w:ascii="宋体" w:hAnsi="宋体" w:cs="宋体"/>
                <w:b/>
                <w:color w:val="auto"/>
                <w:szCs w:val="21"/>
                <w:highlight w:val="none"/>
              </w:rPr>
            </w:pPr>
          </w:p>
        </w:tc>
        <w:tc>
          <w:tcPr>
            <w:tcW w:w="1216" w:type="dxa"/>
            <w:vAlign w:val="center"/>
          </w:tcPr>
          <w:p w14:paraId="4CC07663">
            <w:pPr>
              <w:pageBreakBefore w:val="0"/>
              <w:widowControl w:val="0"/>
              <w:kinsoku/>
              <w:wordWrap/>
              <w:overflowPunct/>
              <w:topLinePunct w:val="0"/>
              <w:autoSpaceDE/>
              <w:autoSpaceDN/>
              <w:bidi w:val="0"/>
              <w:snapToGrid w:val="0"/>
              <w:spacing w:line="390" w:lineRule="exact"/>
              <w:jc w:val="center"/>
              <w:rPr>
                <w:rFonts w:ascii="宋体" w:hAnsi="宋体" w:cs="宋体"/>
                <w:bCs/>
                <w:color w:val="auto"/>
                <w:szCs w:val="21"/>
                <w:highlight w:val="none"/>
              </w:rPr>
            </w:pPr>
            <w:r>
              <w:rPr>
                <w:rFonts w:hint="eastAsia" w:ascii="宋体" w:hAnsi="宋体" w:cs="宋体"/>
                <w:color w:val="auto"/>
                <w:szCs w:val="21"/>
                <w:highlight w:val="none"/>
              </w:rPr>
              <w:t>（主观）</w:t>
            </w:r>
            <w:r>
              <w:rPr>
                <w:rFonts w:hint="eastAsia" w:ascii="宋体" w:hAnsi="宋体" w:cs="宋体"/>
                <w:bCs/>
                <w:color w:val="auto"/>
                <w:szCs w:val="21"/>
                <w:highlight w:val="none"/>
              </w:rPr>
              <w:t>主要服务设施的情况和现状（12分）</w:t>
            </w:r>
          </w:p>
        </w:tc>
        <w:tc>
          <w:tcPr>
            <w:tcW w:w="7198" w:type="dxa"/>
            <w:vAlign w:val="center"/>
          </w:tcPr>
          <w:p w14:paraId="0AC93BF5">
            <w:pPr>
              <w:pageBreakBefore w:val="0"/>
              <w:widowControl w:val="0"/>
              <w:kinsoku/>
              <w:wordWrap/>
              <w:overflowPunct/>
              <w:topLinePunct w:val="0"/>
              <w:autoSpaceDE/>
              <w:autoSpaceDN/>
              <w:bidi w:val="0"/>
              <w:adjustRightInd w:val="0"/>
              <w:snapToGrid w:val="0"/>
              <w:spacing w:line="390" w:lineRule="exact"/>
              <w:jc w:val="left"/>
              <w:rPr>
                <w:rFonts w:ascii="宋体" w:hAnsi="宋体" w:cs="宋体"/>
                <w:color w:val="auto"/>
                <w:szCs w:val="21"/>
                <w:highlight w:val="none"/>
              </w:rPr>
            </w:pPr>
            <w:r>
              <w:rPr>
                <w:rFonts w:hint="eastAsia" w:ascii="宋体" w:hAnsi="宋体" w:cs="宋体"/>
                <w:color w:val="auto"/>
                <w:szCs w:val="21"/>
                <w:highlight w:val="none"/>
              </w:rPr>
              <w:t>一档（4分）：维修工具严重不足，不具备提供原厂新配件的能力且维修能力欠缺。</w:t>
            </w:r>
          </w:p>
          <w:p w14:paraId="4E52A5AC">
            <w:pPr>
              <w:pageBreakBefore w:val="0"/>
              <w:widowControl w:val="0"/>
              <w:kinsoku/>
              <w:wordWrap/>
              <w:overflowPunct/>
              <w:topLinePunct w:val="0"/>
              <w:autoSpaceDE/>
              <w:autoSpaceDN/>
              <w:bidi w:val="0"/>
              <w:adjustRightInd w:val="0"/>
              <w:snapToGrid w:val="0"/>
              <w:spacing w:line="390" w:lineRule="exact"/>
              <w:jc w:val="left"/>
              <w:rPr>
                <w:rFonts w:ascii="宋体" w:hAnsi="宋体" w:cs="宋体"/>
                <w:color w:val="auto"/>
                <w:szCs w:val="21"/>
                <w:highlight w:val="none"/>
              </w:rPr>
            </w:pPr>
            <w:r>
              <w:rPr>
                <w:rFonts w:hint="eastAsia" w:ascii="宋体" w:hAnsi="宋体" w:cs="宋体"/>
                <w:color w:val="auto"/>
                <w:szCs w:val="21"/>
                <w:highlight w:val="none"/>
              </w:rPr>
              <w:t>二档（8分）：维修工具配置一般，不具备提供原厂新配件的能力，但备具有西门子CT设备一定的维修能力（响应文件中提供部分能证明维修能力的工单和部分维修工具证明材料）。</w:t>
            </w:r>
          </w:p>
          <w:p w14:paraId="26F83079">
            <w:pPr>
              <w:pageBreakBefore w:val="0"/>
              <w:widowControl w:val="0"/>
              <w:kinsoku/>
              <w:wordWrap/>
              <w:overflowPunct/>
              <w:topLinePunct w:val="0"/>
              <w:autoSpaceDE/>
              <w:autoSpaceDN/>
              <w:bidi w:val="0"/>
              <w:adjustRightInd w:val="0"/>
              <w:snapToGrid w:val="0"/>
              <w:spacing w:line="390" w:lineRule="exact"/>
              <w:jc w:val="left"/>
              <w:rPr>
                <w:rFonts w:ascii="宋体" w:hAnsi="宋体" w:cs="宋体"/>
                <w:color w:val="auto"/>
                <w:szCs w:val="21"/>
                <w:highlight w:val="none"/>
              </w:rPr>
            </w:pPr>
            <w:r>
              <w:rPr>
                <w:rFonts w:hint="eastAsia" w:ascii="宋体" w:hAnsi="宋体" w:cs="宋体"/>
                <w:color w:val="auto"/>
                <w:szCs w:val="21"/>
                <w:highlight w:val="none"/>
              </w:rPr>
              <w:t>三档（12分）：维修工具配置齐全，具备国家检测证书；具备提供原厂新配件的能力，能够提供核心配件等海关报关单（需提供报关注册登记证书及相应配件报关单复印件）；CT设备维修能力较强（响应文件中能提供完整的维修能力证明工单）。</w:t>
            </w:r>
          </w:p>
        </w:tc>
      </w:tr>
      <w:tr w14:paraId="560C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restart"/>
            <w:vAlign w:val="center"/>
          </w:tcPr>
          <w:p w14:paraId="24682741">
            <w:pPr>
              <w:pageBreakBefore w:val="0"/>
              <w:widowControl w:val="0"/>
              <w:kinsoku/>
              <w:wordWrap/>
              <w:overflowPunct/>
              <w:topLinePunct w:val="0"/>
              <w:autoSpaceDE/>
              <w:autoSpaceDN/>
              <w:bidi w:val="0"/>
              <w:adjustRightInd w:val="0"/>
              <w:spacing w:line="39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145" w:type="dxa"/>
            <w:vMerge w:val="restart"/>
            <w:vAlign w:val="center"/>
          </w:tcPr>
          <w:p w14:paraId="28CE3714">
            <w:pPr>
              <w:pageBreakBefore w:val="0"/>
              <w:widowControl w:val="0"/>
              <w:kinsoku/>
              <w:wordWrap/>
              <w:overflowPunct/>
              <w:topLinePunct w:val="0"/>
              <w:autoSpaceDE/>
              <w:autoSpaceDN/>
              <w:bidi w:val="0"/>
              <w:adjustRightInd w:val="0"/>
              <w:spacing w:line="39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r>
              <w:rPr>
                <w:rFonts w:hint="eastAsia" w:ascii="宋体" w:hAnsi="宋体" w:cs="宋体"/>
                <w:bCs/>
                <w:color w:val="auto"/>
                <w:szCs w:val="21"/>
                <w:highlight w:val="none"/>
              </w:rPr>
              <w:t>（满分21分）</w:t>
            </w:r>
          </w:p>
        </w:tc>
        <w:tc>
          <w:tcPr>
            <w:tcW w:w="1216" w:type="dxa"/>
            <w:vAlign w:val="center"/>
          </w:tcPr>
          <w:p w14:paraId="1B002F5B">
            <w:pPr>
              <w:pageBreakBefore w:val="0"/>
              <w:widowControl w:val="0"/>
              <w:kinsoku/>
              <w:wordWrap/>
              <w:overflowPunct/>
              <w:topLinePunct w:val="0"/>
              <w:autoSpaceDE/>
              <w:autoSpaceDN/>
              <w:bidi w:val="0"/>
              <w:adjustRightInd w:val="0"/>
              <w:snapToGrid w:val="0"/>
              <w:spacing w:line="390" w:lineRule="exact"/>
              <w:jc w:val="center"/>
              <w:textAlignment w:val="baseline"/>
              <w:rPr>
                <w:rFonts w:ascii="宋体" w:hAnsi="宋体" w:cs="宋体"/>
                <w:bCs/>
                <w:color w:val="auto"/>
                <w:szCs w:val="21"/>
                <w:highlight w:val="none"/>
              </w:rPr>
            </w:pPr>
            <w:r>
              <w:rPr>
                <w:rFonts w:hint="eastAsia" w:ascii="宋体" w:hAnsi="宋体" w:cs="宋体"/>
                <w:color w:val="auto"/>
                <w:szCs w:val="21"/>
                <w:highlight w:val="none"/>
              </w:rPr>
              <w:t>（客观）</w:t>
            </w:r>
            <w:r>
              <w:rPr>
                <w:rFonts w:hint="eastAsia" w:ascii="宋体" w:hAnsi="宋体" w:cs="宋体"/>
                <w:bCs/>
                <w:color w:val="auto"/>
                <w:szCs w:val="21"/>
                <w:highlight w:val="none"/>
              </w:rPr>
              <w:t>信誉分</w:t>
            </w:r>
          </w:p>
          <w:p w14:paraId="5182E31A">
            <w:pPr>
              <w:pageBreakBefore w:val="0"/>
              <w:widowControl w:val="0"/>
              <w:kinsoku/>
              <w:wordWrap/>
              <w:overflowPunct/>
              <w:topLinePunct w:val="0"/>
              <w:autoSpaceDE/>
              <w:autoSpaceDN/>
              <w:bidi w:val="0"/>
              <w:adjustRightInd w:val="0"/>
              <w:snapToGrid w:val="0"/>
              <w:spacing w:line="390" w:lineRule="exact"/>
              <w:jc w:val="center"/>
              <w:textAlignment w:val="baseline"/>
              <w:rPr>
                <w:rFonts w:ascii="宋体" w:hAnsi="宋体" w:cs="宋体"/>
                <w:color w:val="auto"/>
                <w:kern w:val="0"/>
                <w:szCs w:val="21"/>
                <w:highlight w:val="none"/>
              </w:rPr>
            </w:pPr>
            <w:r>
              <w:rPr>
                <w:rFonts w:hint="eastAsia" w:ascii="宋体" w:hAnsi="宋体" w:cs="宋体"/>
                <w:bCs/>
                <w:color w:val="auto"/>
                <w:szCs w:val="21"/>
                <w:highlight w:val="none"/>
              </w:rPr>
              <w:t>（6分）</w:t>
            </w:r>
          </w:p>
        </w:tc>
        <w:tc>
          <w:tcPr>
            <w:tcW w:w="7198" w:type="dxa"/>
            <w:vAlign w:val="center"/>
          </w:tcPr>
          <w:p w14:paraId="3A5A82FD">
            <w:pPr>
              <w:pStyle w:val="13"/>
              <w:pageBreakBefore w:val="0"/>
              <w:widowControl w:val="0"/>
              <w:kinsoku/>
              <w:wordWrap/>
              <w:overflowPunct/>
              <w:topLinePunct w:val="0"/>
              <w:autoSpaceDE/>
              <w:autoSpaceDN/>
              <w:bidi w:val="0"/>
              <w:snapToGrid w:val="0"/>
              <w:spacing w:line="390" w:lineRule="exact"/>
              <w:jc w:val="left"/>
              <w:rPr>
                <w:rFonts w:hAnsi="宋体" w:cs="宋体"/>
                <w:bCs/>
                <w:color w:val="auto"/>
                <w:szCs w:val="21"/>
                <w:highlight w:val="none"/>
              </w:rPr>
            </w:pPr>
            <w:r>
              <w:rPr>
                <w:rFonts w:hint="eastAsia" w:ascii="宋体" w:hAnsi="宋体" w:cs="宋体"/>
                <w:color w:val="auto"/>
                <w:szCs w:val="21"/>
                <w:highlight w:val="none"/>
              </w:rPr>
              <w:t>自2021年以来</w:t>
            </w:r>
            <w:r>
              <w:rPr>
                <w:rFonts w:hint="eastAsia" w:hAnsi="宋体" w:cs="宋体"/>
                <w:bCs/>
                <w:color w:val="auto"/>
                <w:szCs w:val="21"/>
                <w:highlight w:val="none"/>
              </w:rPr>
              <w:t>，投标人或实施服务采用的部件生产厂家通过国际标准：质量管理体系认证（ISO9000系列）、</w:t>
            </w:r>
            <w:r>
              <w:rPr>
                <w:rFonts w:hint="eastAsia" w:hAnsi="宋体" w:cs="宋体"/>
                <w:color w:val="auto"/>
                <w:szCs w:val="21"/>
                <w:highlight w:val="none"/>
              </w:rPr>
              <w:t>环境管理体系认证（ISO14000系列）、医疗器械质量管理体系认证（ISO13485系列）</w:t>
            </w:r>
            <w:r>
              <w:rPr>
                <w:rFonts w:hint="eastAsia" w:hAnsi="宋体" w:cs="宋体"/>
                <w:bCs/>
                <w:color w:val="auto"/>
                <w:szCs w:val="21"/>
                <w:highlight w:val="none"/>
              </w:rPr>
              <w:t>，</w:t>
            </w:r>
            <w:r>
              <w:rPr>
                <w:rFonts w:hint="eastAsia" w:hAnsi="宋体" w:cs="宋体"/>
                <w:color w:val="auto"/>
                <w:szCs w:val="21"/>
                <w:highlight w:val="none"/>
                <w:lang w:val="zh-CN"/>
              </w:rPr>
              <w:t>每提供一项得</w:t>
            </w:r>
            <w:r>
              <w:rPr>
                <w:rFonts w:hint="eastAsia" w:hAnsi="宋体" w:cs="宋体"/>
                <w:color w:val="auto"/>
                <w:szCs w:val="21"/>
                <w:highlight w:val="none"/>
              </w:rPr>
              <w:t>2</w:t>
            </w:r>
            <w:r>
              <w:rPr>
                <w:rFonts w:hint="eastAsia" w:hAnsi="宋体" w:cs="宋体"/>
                <w:color w:val="auto"/>
                <w:szCs w:val="21"/>
                <w:highlight w:val="none"/>
                <w:lang w:val="zh-CN"/>
              </w:rPr>
              <w:t>分</w:t>
            </w:r>
            <w:r>
              <w:rPr>
                <w:rFonts w:hint="eastAsia" w:hAnsi="宋体" w:cs="宋体"/>
                <w:bCs/>
                <w:color w:val="auto"/>
                <w:szCs w:val="21"/>
                <w:highlight w:val="none"/>
              </w:rPr>
              <w:t>，满分6分</w:t>
            </w:r>
            <w:r>
              <w:rPr>
                <w:rFonts w:hint="eastAsia" w:hAnsi="宋体" w:cs="宋体"/>
                <w:color w:val="auto"/>
                <w:szCs w:val="21"/>
                <w:highlight w:val="none"/>
                <w:lang w:val="zh-CN"/>
              </w:rPr>
              <w:t>（以提供相关认证证书</w:t>
            </w:r>
            <w:r>
              <w:rPr>
                <w:rFonts w:hint="eastAsia" w:hAnsi="宋体" w:cs="宋体"/>
                <w:color w:val="auto"/>
                <w:szCs w:val="21"/>
                <w:highlight w:val="none"/>
              </w:rPr>
              <w:t>扫描件</w:t>
            </w:r>
            <w:r>
              <w:rPr>
                <w:rFonts w:hint="eastAsia" w:hAnsi="宋体" w:cs="宋体"/>
                <w:color w:val="auto"/>
                <w:szCs w:val="21"/>
                <w:highlight w:val="none"/>
                <w:lang w:val="zh-CN"/>
              </w:rPr>
              <w:t>为准并加盖投标人公章）</w:t>
            </w:r>
            <w:r>
              <w:rPr>
                <w:rFonts w:hint="eastAsia" w:hAnsi="宋体" w:cs="宋体"/>
                <w:bCs/>
                <w:color w:val="auto"/>
                <w:szCs w:val="21"/>
                <w:highlight w:val="none"/>
              </w:rPr>
              <w:t>。</w:t>
            </w:r>
          </w:p>
        </w:tc>
      </w:tr>
      <w:tr w14:paraId="580E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vAlign w:val="center"/>
          </w:tcPr>
          <w:p w14:paraId="24A3F79A">
            <w:pPr>
              <w:pageBreakBefore w:val="0"/>
              <w:widowControl w:val="0"/>
              <w:kinsoku/>
              <w:wordWrap/>
              <w:overflowPunct/>
              <w:topLinePunct w:val="0"/>
              <w:autoSpaceDE/>
              <w:autoSpaceDN/>
              <w:bidi w:val="0"/>
              <w:adjustRightInd w:val="0"/>
              <w:spacing w:line="390" w:lineRule="exact"/>
              <w:jc w:val="center"/>
              <w:textAlignment w:val="baseline"/>
              <w:rPr>
                <w:rFonts w:ascii="宋体" w:hAnsi="宋体" w:cs="宋体"/>
                <w:b/>
                <w:color w:val="auto"/>
                <w:szCs w:val="21"/>
                <w:highlight w:val="none"/>
              </w:rPr>
            </w:pPr>
          </w:p>
        </w:tc>
        <w:tc>
          <w:tcPr>
            <w:tcW w:w="1145" w:type="dxa"/>
            <w:vMerge w:val="continue"/>
            <w:vAlign w:val="center"/>
          </w:tcPr>
          <w:p w14:paraId="4ACE4E3D">
            <w:pPr>
              <w:pageBreakBefore w:val="0"/>
              <w:widowControl w:val="0"/>
              <w:kinsoku/>
              <w:wordWrap/>
              <w:overflowPunct/>
              <w:topLinePunct w:val="0"/>
              <w:autoSpaceDE/>
              <w:autoSpaceDN/>
              <w:bidi w:val="0"/>
              <w:adjustRightInd w:val="0"/>
              <w:spacing w:line="390" w:lineRule="exact"/>
              <w:jc w:val="center"/>
              <w:textAlignment w:val="baseline"/>
              <w:rPr>
                <w:rFonts w:ascii="宋体" w:hAnsi="宋体" w:cs="宋体"/>
                <w:b/>
                <w:color w:val="auto"/>
                <w:szCs w:val="21"/>
                <w:highlight w:val="none"/>
              </w:rPr>
            </w:pPr>
          </w:p>
        </w:tc>
        <w:tc>
          <w:tcPr>
            <w:tcW w:w="1216" w:type="dxa"/>
            <w:vAlign w:val="center"/>
          </w:tcPr>
          <w:p w14:paraId="5486ED98">
            <w:pPr>
              <w:pageBreakBefore w:val="0"/>
              <w:widowControl w:val="0"/>
              <w:kinsoku/>
              <w:wordWrap/>
              <w:overflowPunct/>
              <w:topLinePunct w:val="0"/>
              <w:autoSpaceDE/>
              <w:autoSpaceDN/>
              <w:bidi w:val="0"/>
              <w:adjustRightInd w:val="0"/>
              <w:snapToGrid w:val="0"/>
              <w:spacing w:line="390" w:lineRule="exact"/>
              <w:jc w:val="center"/>
              <w:textAlignment w:val="baseline"/>
              <w:rPr>
                <w:rFonts w:ascii="宋体" w:hAnsi="宋体" w:cs="宋体"/>
                <w:color w:val="auto"/>
                <w:kern w:val="0"/>
                <w:szCs w:val="21"/>
                <w:highlight w:val="none"/>
              </w:rPr>
            </w:pPr>
            <w:r>
              <w:rPr>
                <w:rFonts w:hint="eastAsia" w:ascii="宋体" w:hAnsi="宋体" w:cs="宋体"/>
                <w:color w:val="auto"/>
                <w:szCs w:val="21"/>
                <w:highlight w:val="none"/>
              </w:rPr>
              <w:t>（客观）</w:t>
            </w:r>
            <w:r>
              <w:rPr>
                <w:rFonts w:hint="eastAsia" w:ascii="宋体" w:hAnsi="宋体" w:cs="宋体"/>
                <w:bCs/>
                <w:color w:val="auto"/>
                <w:szCs w:val="21"/>
                <w:highlight w:val="none"/>
              </w:rPr>
              <w:t>资质分（5分）</w:t>
            </w:r>
          </w:p>
        </w:tc>
        <w:tc>
          <w:tcPr>
            <w:tcW w:w="7198" w:type="dxa"/>
            <w:vAlign w:val="center"/>
          </w:tcPr>
          <w:p w14:paraId="6C5C75A1">
            <w:pPr>
              <w:pStyle w:val="13"/>
              <w:pageBreakBefore w:val="0"/>
              <w:widowControl w:val="0"/>
              <w:kinsoku/>
              <w:wordWrap/>
              <w:overflowPunct/>
              <w:topLinePunct w:val="0"/>
              <w:autoSpaceDE/>
              <w:autoSpaceDN/>
              <w:bidi w:val="0"/>
              <w:snapToGrid w:val="0"/>
              <w:spacing w:line="390" w:lineRule="exact"/>
              <w:jc w:val="left"/>
              <w:rPr>
                <w:rFonts w:hAnsi="宋体" w:cs="宋体"/>
                <w:bCs/>
                <w:color w:val="auto"/>
                <w:szCs w:val="21"/>
                <w:highlight w:val="none"/>
              </w:rPr>
            </w:pPr>
            <w:r>
              <w:rPr>
                <w:rFonts w:hint="eastAsia" w:hAnsi="宋体" w:cs="宋体"/>
                <w:color w:val="auto"/>
                <w:szCs w:val="21"/>
                <w:highlight w:val="none"/>
              </w:rPr>
              <w:t>为保证技术服务过程及成果的规范性（符合国家行业监管部门对医疗器械的各类监管要求、标准），且保证不影响服务期结束后的服务采购工作，投标人可提供原厂维修授权或具有原厂维修资质或其它能被评审小组认可的技术及商务性证明材料的（原厂参加投标的可不提供），得5分。</w:t>
            </w:r>
          </w:p>
        </w:tc>
      </w:tr>
      <w:tr w14:paraId="50B2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vAlign w:val="center"/>
          </w:tcPr>
          <w:p w14:paraId="2D7AD0B6">
            <w:pPr>
              <w:pageBreakBefore w:val="0"/>
              <w:widowControl w:val="0"/>
              <w:kinsoku/>
              <w:wordWrap/>
              <w:overflowPunct/>
              <w:topLinePunct w:val="0"/>
              <w:autoSpaceDE/>
              <w:autoSpaceDN/>
              <w:bidi w:val="0"/>
              <w:adjustRightInd w:val="0"/>
              <w:spacing w:line="390" w:lineRule="exact"/>
              <w:jc w:val="center"/>
              <w:textAlignment w:val="baseline"/>
              <w:rPr>
                <w:rFonts w:ascii="宋体" w:hAnsi="宋体" w:cs="宋体"/>
                <w:b/>
                <w:color w:val="auto"/>
                <w:szCs w:val="21"/>
                <w:highlight w:val="none"/>
              </w:rPr>
            </w:pPr>
          </w:p>
        </w:tc>
        <w:tc>
          <w:tcPr>
            <w:tcW w:w="1145" w:type="dxa"/>
            <w:vMerge w:val="continue"/>
            <w:vAlign w:val="center"/>
          </w:tcPr>
          <w:p w14:paraId="0CCD1F71">
            <w:pPr>
              <w:pageBreakBefore w:val="0"/>
              <w:widowControl w:val="0"/>
              <w:kinsoku/>
              <w:wordWrap/>
              <w:overflowPunct/>
              <w:topLinePunct w:val="0"/>
              <w:autoSpaceDE/>
              <w:autoSpaceDN/>
              <w:bidi w:val="0"/>
              <w:adjustRightInd w:val="0"/>
              <w:spacing w:line="390" w:lineRule="exact"/>
              <w:jc w:val="center"/>
              <w:textAlignment w:val="baseline"/>
              <w:rPr>
                <w:rFonts w:ascii="宋体" w:hAnsi="宋体" w:cs="宋体"/>
                <w:b/>
                <w:color w:val="auto"/>
                <w:szCs w:val="21"/>
                <w:highlight w:val="none"/>
              </w:rPr>
            </w:pPr>
          </w:p>
        </w:tc>
        <w:tc>
          <w:tcPr>
            <w:tcW w:w="1216" w:type="dxa"/>
            <w:vAlign w:val="center"/>
          </w:tcPr>
          <w:p w14:paraId="7F233485">
            <w:pPr>
              <w:pageBreakBefore w:val="0"/>
              <w:widowControl w:val="0"/>
              <w:kinsoku/>
              <w:wordWrap/>
              <w:overflowPunct/>
              <w:topLinePunct w:val="0"/>
              <w:autoSpaceDE/>
              <w:autoSpaceDN/>
              <w:bidi w:val="0"/>
              <w:adjustRightInd w:val="0"/>
              <w:snapToGrid w:val="0"/>
              <w:spacing w:line="390" w:lineRule="exact"/>
              <w:jc w:val="center"/>
              <w:textAlignment w:val="baseline"/>
              <w:rPr>
                <w:rFonts w:ascii="宋体" w:hAnsi="宋体" w:cs="宋体"/>
                <w:bCs/>
                <w:color w:val="auto"/>
                <w:szCs w:val="21"/>
                <w:highlight w:val="none"/>
              </w:rPr>
            </w:pPr>
            <w:r>
              <w:rPr>
                <w:rFonts w:hint="eastAsia" w:ascii="宋体" w:hAnsi="宋体" w:cs="宋体"/>
                <w:color w:val="auto"/>
                <w:szCs w:val="21"/>
                <w:highlight w:val="none"/>
              </w:rPr>
              <w:t>（客观）</w:t>
            </w:r>
            <w:r>
              <w:rPr>
                <w:rFonts w:hint="eastAsia" w:ascii="宋体" w:hAnsi="宋体" w:cs="宋体"/>
                <w:bCs/>
                <w:color w:val="auto"/>
                <w:szCs w:val="21"/>
                <w:highlight w:val="none"/>
              </w:rPr>
              <w:t>业绩分</w:t>
            </w:r>
          </w:p>
          <w:p w14:paraId="6A919034">
            <w:pPr>
              <w:pageBreakBefore w:val="0"/>
              <w:widowControl w:val="0"/>
              <w:kinsoku/>
              <w:wordWrap/>
              <w:overflowPunct/>
              <w:topLinePunct w:val="0"/>
              <w:autoSpaceDE/>
              <w:autoSpaceDN/>
              <w:bidi w:val="0"/>
              <w:adjustRightInd w:val="0"/>
              <w:snapToGrid w:val="0"/>
              <w:spacing w:line="390" w:lineRule="exact"/>
              <w:jc w:val="center"/>
              <w:textAlignment w:val="baseline"/>
              <w:rPr>
                <w:rFonts w:ascii="宋体" w:hAnsi="宋体" w:cs="宋体"/>
                <w:color w:val="auto"/>
                <w:kern w:val="0"/>
                <w:szCs w:val="21"/>
                <w:highlight w:val="none"/>
              </w:rPr>
            </w:pPr>
            <w:r>
              <w:rPr>
                <w:rFonts w:hint="eastAsia" w:ascii="宋体" w:hAnsi="宋体" w:cs="宋体"/>
                <w:bCs/>
                <w:color w:val="auto"/>
                <w:szCs w:val="21"/>
                <w:highlight w:val="none"/>
              </w:rPr>
              <w:t>（10分）</w:t>
            </w:r>
          </w:p>
        </w:tc>
        <w:tc>
          <w:tcPr>
            <w:tcW w:w="7198" w:type="dxa"/>
            <w:vAlign w:val="center"/>
          </w:tcPr>
          <w:p w14:paraId="525DA96F">
            <w:pPr>
              <w:pageBreakBefore w:val="0"/>
              <w:widowControl w:val="0"/>
              <w:kinsoku/>
              <w:wordWrap/>
              <w:overflowPunct/>
              <w:topLinePunct w:val="0"/>
              <w:autoSpaceDE/>
              <w:autoSpaceDN/>
              <w:bidi w:val="0"/>
              <w:adjustRightInd w:val="0"/>
              <w:snapToGrid w:val="0"/>
              <w:spacing w:line="390" w:lineRule="exact"/>
              <w:textAlignment w:val="baseline"/>
              <w:rPr>
                <w:rFonts w:ascii="宋体" w:hAnsi="宋体" w:cs="宋体"/>
                <w:bCs/>
                <w:color w:val="auto"/>
                <w:szCs w:val="21"/>
                <w:highlight w:val="none"/>
              </w:rPr>
            </w:pPr>
            <w:r>
              <w:rPr>
                <w:rFonts w:hint="eastAsia" w:ascii="宋体" w:hAnsi="宋体" w:cs="宋体"/>
                <w:color w:val="auto"/>
                <w:szCs w:val="21"/>
                <w:highlight w:val="none"/>
              </w:rPr>
              <w:t>自2021年以来，投标人完成同类项目业绩的，每提供一份合同书或中标通知书，以及符合同类业绩范围要求的其它必要证明材料复印件得</w:t>
            </w:r>
            <w:r>
              <w:rPr>
                <w:rFonts w:hint="eastAsia" w:ascii="宋体" w:hAnsi="宋体" w:cs="宋体"/>
                <w:bCs/>
                <w:color w:val="auto"/>
                <w:szCs w:val="21"/>
                <w:highlight w:val="none"/>
              </w:rPr>
              <w:t>1</w:t>
            </w:r>
            <w:r>
              <w:rPr>
                <w:rFonts w:hint="eastAsia" w:ascii="宋体" w:hAnsi="宋体" w:cs="宋体"/>
                <w:color w:val="auto"/>
                <w:szCs w:val="21"/>
                <w:highlight w:val="none"/>
              </w:rPr>
              <w:t>分，满分10分。（同类业绩范围包括：放射影像设备医疗设备维保服务）</w:t>
            </w:r>
          </w:p>
        </w:tc>
      </w:tr>
      <w:tr w14:paraId="6C3C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57" w:type="dxa"/>
            <w:gridSpan w:val="4"/>
            <w:vAlign w:val="center"/>
          </w:tcPr>
          <w:p w14:paraId="2D5CFCC9">
            <w:pPr>
              <w:pStyle w:val="13"/>
              <w:pageBreakBefore w:val="0"/>
              <w:widowControl w:val="0"/>
              <w:kinsoku/>
              <w:wordWrap/>
              <w:overflowPunct/>
              <w:topLinePunct w:val="0"/>
              <w:autoSpaceDE/>
              <w:autoSpaceDN/>
              <w:bidi w:val="0"/>
              <w:spacing w:line="390" w:lineRule="exact"/>
              <w:rPr>
                <w:rFonts w:hAnsi="宋体" w:cs="宋体"/>
                <w:bCs/>
                <w:color w:val="auto"/>
                <w:szCs w:val="21"/>
                <w:highlight w:val="none"/>
              </w:rPr>
            </w:pPr>
            <w:r>
              <w:rPr>
                <w:rFonts w:hint="eastAsia" w:hAnsi="宋体" w:cs="宋体"/>
                <w:b/>
                <w:bCs/>
                <w:color w:val="auto"/>
                <w:szCs w:val="21"/>
                <w:highlight w:val="none"/>
              </w:rPr>
              <w:t>总得分=1+2+3。</w:t>
            </w:r>
          </w:p>
        </w:tc>
      </w:tr>
    </w:tbl>
    <w:p w14:paraId="5DEFDA1A">
      <w:pPr>
        <w:shd w:val="clear" w:color="auto" w:fill="FFFFFF" w:themeFill="background1"/>
        <w:rPr>
          <w:rFonts w:ascii="宋体" w:hAnsi="宋体" w:cs="Courier New"/>
          <w:bCs/>
          <w:color w:val="auto"/>
          <w:szCs w:val="21"/>
          <w:highlight w:val="none"/>
        </w:rPr>
      </w:pPr>
    </w:p>
    <w:p w14:paraId="69C0B7C1">
      <w:pPr>
        <w:pStyle w:val="3"/>
        <w:shd w:val="clear" w:color="auto" w:fill="FFFFFF" w:themeFill="background1"/>
        <w:spacing w:before="0" w:after="0" w:line="360" w:lineRule="auto"/>
        <w:ind w:firstLine="600" w:firstLineChars="200"/>
        <w:jc w:val="center"/>
        <w:rPr>
          <w:rFonts w:ascii="宋体" w:hAnsi="宋体" w:eastAsia="宋体" w:cs="宋体"/>
          <w:b w:val="0"/>
          <w:color w:val="auto"/>
          <w:sz w:val="30"/>
          <w:szCs w:val="30"/>
          <w:highlight w:val="none"/>
        </w:rPr>
      </w:pPr>
      <w:bookmarkStart w:id="311" w:name="_Toc10751"/>
      <w:bookmarkStart w:id="312" w:name="_Toc23906"/>
      <w:bookmarkStart w:id="313" w:name="_Toc12855"/>
      <w:bookmarkStart w:id="314" w:name="_Toc2202"/>
      <w:bookmarkStart w:id="315" w:name="_Toc18582"/>
      <w:bookmarkStart w:id="316" w:name="_Toc11083"/>
      <w:bookmarkStart w:id="317" w:name="_Toc16466"/>
      <w:bookmarkStart w:id="318" w:name="_Toc20313"/>
      <w:bookmarkStart w:id="319" w:name="_Toc9480"/>
      <w:bookmarkStart w:id="320" w:name="_Toc15061"/>
      <w:r>
        <w:rPr>
          <w:rFonts w:hint="eastAsia" w:ascii="宋体" w:hAnsi="宋体" w:eastAsia="宋体" w:cs="宋体"/>
          <w:b w:val="0"/>
          <w:color w:val="auto"/>
          <w:sz w:val="30"/>
          <w:szCs w:val="30"/>
          <w:highlight w:val="none"/>
        </w:rPr>
        <w:t>第四节 中标候选人推荐原则</w:t>
      </w:r>
      <w:bookmarkEnd w:id="311"/>
      <w:bookmarkEnd w:id="312"/>
      <w:bookmarkEnd w:id="313"/>
      <w:bookmarkEnd w:id="314"/>
      <w:bookmarkEnd w:id="315"/>
      <w:bookmarkEnd w:id="316"/>
      <w:bookmarkEnd w:id="317"/>
      <w:bookmarkEnd w:id="318"/>
      <w:bookmarkEnd w:id="319"/>
      <w:bookmarkEnd w:id="320"/>
    </w:p>
    <w:p w14:paraId="5E27449B">
      <w:pPr>
        <w:pStyle w:val="13"/>
        <w:shd w:val="clear" w:color="auto" w:fill="FFFFFF" w:themeFill="background1"/>
        <w:spacing w:line="360" w:lineRule="auto"/>
        <w:ind w:left="472"/>
        <w:contextualSpacing/>
        <w:rPr>
          <w:rFonts w:hAnsi="宋体" w:cs="宋体"/>
          <w:b/>
          <w:bCs/>
          <w:color w:val="auto"/>
          <w:sz w:val="24"/>
          <w:szCs w:val="24"/>
          <w:highlight w:val="none"/>
        </w:rPr>
      </w:pPr>
      <w:r>
        <w:rPr>
          <w:rFonts w:hint="eastAsia" w:hAnsi="宋体" w:cs="宋体"/>
          <w:b/>
          <w:bCs/>
          <w:color w:val="auto"/>
          <w:sz w:val="24"/>
          <w:szCs w:val="24"/>
          <w:highlight w:val="none"/>
        </w:rPr>
        <w:t>（一）综合评分法</w:t>
      </w:r>
    </w:p>
    <w:p w14:paraId="33E37F3E">
      <w:pPr>
        <w:pStyle w:val="13"/>
        <w:shd w:val="clear" w:color="auto" w:fill="FFFFFF" w:themeFill="background1"/>
        <w:spacing w:line="360" w:lineRule="auto"/>
        <w:ind w:firstLine="420" w:firstLineChars="200"/>
        <w:rPr>
          <w:rFonts w:hint="eastAsia" w:hAnsi="宋体" w:eastAsia="宋体" w:cs="宋体"/>
          <w:color w:val="auto"/>
          <w:highlight w:val="none"/>
          <w:lang w:eastAsia="zh-CN"/>
        </w:rPr>
      </w:pPr>
      <w:r>
        <w:rPr>
          <w:rFonts w:hint="eastAsia" w:hAnsi="宋体" w:cs="宋体"/>
          <w:color w:val="auto"/>
          <w:highlight w:val="none"/>
        </w:rPr>
        <w:t>评标委员会将根据评审后总得分由高到低排列次序并推荐中标候选人。总得分相同的，以投标报价由低到高顺序排列；得分相同且投标报价相同的，按技术分得分由高到低顺序排列；总得分相同且投标报价相同且技术得分相同的，按商务分得分由高到低的顺序排列</w:t>
      </w:r>
      <w:r>
        <w:rPr>
          <w:rFonts w:hint="eastAsia" w:hAnsi="宋体" w:cs="宋体"/>
          <w:color w:val="auto"/>
          <w:highlight w:val="none"/>
          <w:lang w:eastAsia="zh-CN"/>
        </w:rPr>
        <w:t>。</w:t>
      </w:r>
    </w:p>
    <w:p w14:paraId="4F38B69F">
      <w:pPr>
        <w:pStyle w:val="13"/>
        <w:numPr>
          <w:ilvl w:val="0"/>
          <w:numId w:val="5"/>
        </w:numPr>
        <w:shd w:val="clear" w:color="auto" w:fill="FFFFFF" w:themeFill="background1"/>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最低评标报价法</w:t>
      </w:r>
    </w:p>
    <w:p w14:paraId="1DCB83A9">
      <w:pPr>
        <w:pStyle w:val="13"/>
        <w:shd w:val="clear" w:color="auto" w:fill="FFFFFF" w:themeFill="background1"/>
        <w:spacing w:line="360" w:lineRule="auto"/>
        <w:ind w:firstLine="420" w:firstLineChars="200"/>
        <w:rPr>
          <w:rFonts w:hAnsi="宋体" w:cs="宋体"/>
          <w:color w:val="auto"/>
          <w:highlight w:val="none"/>
        </w:rPr>
      </w:pPr>
      <w:r>
        <w:rPr>
          <w:rFonts w:hint="eastAsia" w:hAnsi="宋体" w:cs="宋体"/>
          <w:color w:val="auto"/>
          <w:highlight w:val="none"/>
        </w:rPr>
        <w:t>评标委员会将按照有效评标报价从低到高顺序排列，评标报价相同的并列。投标文件满足招标文件全部实质性要求且评标报价最低的投标人为排名第一的中标候选人。</w:t>
      </w:r>
    </w:p>
    <w:p w14:paraId="40BDE524">
      <w:pPr>
        <w:pStyle w:val="3"/>
        <w:shd w:val="clear" w:color="auto" w:fill="FFFFFF" w:themeFill="background1"/>
        <w:spacing w:before="0" w:after="0" w:line="360" w:lineRule="auto"/>
        <w:ind w:firstLine="600" w:firstLineChars="200"/>
        <w:jc w:val="center"/>
        <w:rPr>
          <w:rFonts w:ascii="宋体" w:hAnsi="宋体" w:eastAsia="宋体" w:cs="宋体"/>
          <w:b w:val="0"/>
          <w:color w:val="auto"/>
          <w:sz w:val="30"/>
          <w:szCs w:val="30"/>
          <w:highlight w:val="none"/>
        </w:rPr>
      </w:pPr>
      <w:bookmarkStart w:id="321" w:name="_Toc11073"/>
      <w:bookmarkStart w:id="322" w:name="_Toc22384"/>
      <w:bookmarkStart w:id="323" w:name="_Toc29218"/>
      <w:bookmarkStart w:id="324" w:name="_Toc11545"/>
      <w:bookmarkStart w:id="325" w:name="_Toc27419"/>
      <w:bookmarkStart w:id="326" w:name="_Toc13625"/>
      <w:bookmarkStart w:id="327" w:name="_Toc9602"/>
      <w:bookmarkStart w:id="328" w:name="_Toc13808"/>
      <w:bookmarkStart w:id="329" w:name="_Toc11695"/>
      <w:bookmarkStart w:id="330" w:name="_Toc7971"/>
      <w:r>
        <w:rPr>
          <w:rFonts w:hint="eastAsia" w:ascii="宋体" w:hAnsi="宋体" w:eastAsia="宋体" w:cs="宋体"/>
          <w:b w:val="0"/>
          <w:color w:val="auto"/>
          <w:sz w:val="30"/>
          <w:szCs w:val="30"/>
          <w:highlight w:val="none"/>
        </w:rPr>
        <w:t>第五节 评标报告</w:t>
      </w:r>
      <w:bookmarkEnd w:id="321"/>
      <w:bookmarkEnd w:id="322"/>
      <w:bookmarkEnd w:id="323"/>
      <w:bookmarkEnd w:id="324"/>
      <w:bookmarkEnd w:id="325"/>
      <w:bookmarkEnd w:id="326"/>
      <w:bookmarkEnd w:id="327"/>
      <w:bookmarkEnd w:id="328"/>
      <w:bookmarkEnd w:id="329"/>
      <w:bookmarkEnd w:id="330"/>
    </w:p>
    <w:p w14:paraId="7DEE90ED">
      <w:pPr>
        <w:pStyle w:val="36"/>
        <w:shd w:val="clear" w:color="auto" w:fill="FFFFFF" w:themeFill="background1"/>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1B0BAE50">
      <w:pPr>
        <w:pStyle w:val="13"/>
        <w:shd w:val="clear" w:color="auto" w:fill="FFFFFF" w:themeFill="background1"/>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评标委员会根据原始评标记录和评标结果编写评标报告，并通过电子交易平台向采购人、采购代理机构提交。</w:t>
      </w:r>
    </w:p>
    <w:p w14:paraId="7611EE24">
      <w:pPr>
        <w:widowControl/>
        <w:shd w:val="clear" w:color="auto" w:fill="FFFFFF" w:themeFill="background1"/>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530D995D">
      <w:pPr>
        <w:pStyle w:val="13"/>
        <w:shd w:val="clear" w:color="auto" w:fill="FFFFFF" w:themeFill="background1"/>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4B5AA47">
      <w:pPr>
        <w:widowControl/>
        <w:shd w:val="clear" w:color="auto" w:fill="FFFFFF" w:themeFill="background1"/>
        <w:jc w:val="left"/>
        <w:rPr>
          <w:rFonts w:ascii="宋体" w:hAnsi="宋体" w:cs="宋体"/>
          <w:b/>
          <w:color w:val="auto"/>
          <w:sz w:val="36"/>
          <w:szCs w:val="20"/>
          <w:highlight w:val="none"/>
        </w:rPr>
        <w:sectPr>
          <w:pgSz w:w="11905" w:h="16838"/>
          <w:pgMar w:top="1134" w:right="1134" w:bottom="1134" w:left="1134" w:header="850" w:footer="850" w:gutter="0"/>
          <w:cols w:space="0" w:num="1"/>
          <w:titlePg/>
          <w:docGrid w:linePitch="331" w:charSpace="0"/>
        </w:sectPr>
      </w:pPr>
    </w:p>
    <w:p w14:paraId="6E42A8E2">
      <w:pPr>
        <w:pStyle w:val="13"/>
        <w:shd w:val="clear" w:color="auto" w:fill="FFFFFF" w:themeFill="background1"/>
        <w:tabs>
          <w:tab w:val="left" w:pos="2472"/>
        </w:tabs>
        <w:spacing w:line="460" w:lineRule="exact"/>
        <w:jc w:val="center"/>
        <w:rPr>
          <w:rFonts w:hAnsi="宋体" w:cs="宋体"/>
          <w:b/>
          <w:color w:val="auto"/>
          <w:sz w:val="36"/>
          <w:highlight w:val="none"/>
        </w:rPr>
      </w:pPr>
    </w:p>
    <w:p w14:paraId="53BA2090">
      <w:pPr>
        <w:pStyle w:val="13"/>
        <w:shd w:val="clear" w:color="auto" w:fill="FFFFFF" w:themeFill="background1"/>
        <w:tabs>
          <w:tab w:val="left" w:pos="2472"/>
        </w:tabs>
        <w:spacing w:line="460" w:lineRule="exact"/>
        <w:jc w:val="center"/>
        <w:rPr>
          <w:rFonts w:hAnsi="宋体" w:cs="宋体"/>
          <w:b/>
          <w:color w:val="auto"/>
          <w:sz w:val="36"/>
          <w:highlight w:val="none"/>
        </w:rPr>
      </w:pPr>
    </w:p>
    <w:p w14:paraId="29A65044">
      <w:pPr>
        <w:pStyle w:val="13"/>
        <w:shd w:val="clear" w:color="auto" w:fill="FFFFFF" w:themeFill="background1"/>
        <w:tabs>
          <w:tab w:val="left" w:pos="2472"/>
        </w:tabs>
        <w:spacing w:line="460" w:lineRule="exact"/>
        <w:jc w:val="center"/>
        <w:rPr>
          <w:rFonts w:hAnsi="宋体" w:cs="宋体"/>
          <w:b/>
          <w:color w:val="auto"/>
          <w:sz w:val="36"/>
          <w:highlight w:val="none"/>
        </w:rPr>
      </w:pPr>
    </w:p>
    <w:p w14:paraId="1A860715">
      <w:pPr>
        <w:pStyle w:val="13"/>
        <w:shd w:val="clear" w:color="auto" w:fill="FFFFFF" w:themeFill="background1"/>
        <w:tabs>
          <w:tab w:val="left" w:pos="2472"/>
        </w:tabs>
        <w:spacing w:line="460" w:lineRule="exact"/>
        <w:jc w:val="center"/>
        <w:rPr>
          <w:rFonts w:hAnsi="宋体" w:cs="宋体"/>
          <w:b/>
          <w:color w:val="auto"/>
          <w:sz w:val="36"/>
          <w:highlight w:val="none"/>
        </w:rPr>
      </w:pPr>
    </w:p>
    <w:p w14:paraId="2FF52AF5">
      <w:pPr>
        <w:pStyle w:val="13"/>
        <w:shd w:val="clear" w:color="auto" w:fill="FFFFFF" w:themeFill="background1"/>
        <w:tabs>
          <w:tab w:val="left" w:pos="2472"/>
        </w:tabs>
        <w:spacing w:line="460" w:lineRule="exact"/>
        <w:jc w:val="center"/>
        <w:rPr>
          <w:rFonts w:hAnsi="宋体" w:cs="宋体"/>
          <w:b/>
          <w:color w:val="auto"/>
          <w:sz w:val="36"/>
          <w:highlight w:val="none"/>
        </w:rPr>
      </w:pPr>
    </w:p>
    <w:p w14:paraId="76ABADC5">
      <w:pPr>
        <w:pStyle w:val="13"/>
        <w:shd w:val="clear" w:color="auto" w:fill="FFFFFF" w:themeFill="background1"/>
        <w:tabs>
          <w:tab w:val="left" w:pos="2472"/>
        </w:tabs>
        <w:spacing w:line="460" w:lineRule="exact"/>
        <w:jc w:val="center"/>
        <w:rPr>
          <w:rFonts w:hAnsi="宋体" w:cs="宋体"/>
          <w:b/>
          <w:color w:val="auto"/>
          <w:sz w:val="36"/>
          <w:highlight w:val="none"/>
        </w:rPr>
      </w:pPr>
    </w:p>
    <w:p w14:paraId="750D9131">
      <w:pPr>
        <w:pStyle w:val="13"/>
        <w:shd w:val="clear" w:color="auto" w:fill="FFFFFF" w:themeFill="background1"/>
        <w:tabs>
          <w:tab w:val="left" w:pos="2472"/>
        </w:tabs>
        <w:spacing w:line="460" w:lineRule="exact"/>
        <w:jc w:val="center"/>
        <w:rPr>
          <w:rFonts w:hAnsi="宋体" w:cs="宋体"/>
          <w:b/>
          <w:color w:val="auto"/>
          <w:sz w:val="36"/>
          <w:highlight w:val="none"/>
        </w:rPr>
      </w:pPr>
    </w:p>
    <w:p w14:paraId="39B68929">
      <w:pPr>
        <w:pStyle w:val="13"/>
        <w:shd w:val="clear" w:color="auto" w:fill="FFFFFF" w:themeFill="background1"/>
        <w:tabs>
          <w:tab w:val="left" w:pos="2472"/>
        </w:tabs>
        <w:spacing w:line="460" w:lineRule="exact"/>
        <w:jc w:val="center"/>
        <w:rPr>
          <w:rFonts w:hAnsi="宋体" w:cs="宋体"/>
          <w:b/>
          <w:color w:val="auto"/>
          <w:sz w:val="36"/>
          <w:highlight w:val="none"/>
        </w:rPr>
      </w:pPr>
    </w:p>
    <w:p w14:paraId="36AB9289">
      <w:pPr>
        <w:pStyle w:val="13"/>
        <w:shd w:val="clear" w:color="auto" w:fill="FFFFFF" w:themeFill="background1"/>
        <w:tabs>
          <w:tab w:val="left" w:pos="2472"/>
        </w:tabs>
        <w:spacing w:line="460" w:lineRule="exact"/>
        <w:jc w:val="center"/>
        <w:rPr>
          <w:rFonts w:hAnsi="宋体" w:cs="宋体"/>
          <w:b/>
          <w:color w:val="auto"/>
          <w:sz w:val="36"/>
          <w:highlight w:val="none"/>
        </w:rPr>
      </w:pPr>
    </w:p>
    <w:p w14:paraId="3C0B634B">
      <w:pPr>
        <w:pStyle w:val="13"/>
        <w:shd w:val="clear" w:color="auto" w:fill="FFFFFF" w:themeFill="background1"/>
        <w:tabs>
          <w:tab w:val="left" w:pos="2472"/>
        </w:tabs>
        <w:spacing w:line="460" w:lineRule="exact"/>
        <w:jc w:val="center"/>
        <w:rPr>
          <w:rFonts w:hAnsi="宋体" w:cs="宋体"/>
          <w:b/>
          <w:color w:val="auto"/>
          <w:sz w:val="36"/>
          <w:highlight w:val="none"/>
        </w:rPr>
      </w:pPr>
    </w:p>
    <w:p w14:paraId="300121B0">
      <w:pPr>
        <w:pStyle w:val="13"/>
        <w:shd w:val="clear" w:color="auto" w:fill="FFFFFF" w:themeFill="background1"/>
        <w:tabs>
          <w:tab w:val="left" w:pos="2472"/>
        </w:tabs>
        <w:spacing w:line="460" w:lineRule="exact"/>
        <w:jc w:val="center"/>
        <w:rPr>
          <w:rFonts w:hAnsi="宋体" w:cs="宋体"/>
          <w:b/>
          <w:color w:val="auto"/>
          <w:sz w:val="36"/>
          <w:highlight w:val="none"/>
        </w:rPr>
      </w:pPr>
    </w:p>
    <w:p w14:paraId="2EB49381">
      <w:pPr>
        <w:pStyle w:val="13"/>
        <w:shd w:val="clear" w:color="auto" w:fill="FFFFFF" w:themeFill="background1"/>
        <w:tabs>
          <w:tab w:val="left" w:pos="2472"/>
        </w:tabs>
        <w:spacing w:line="460" w:lineRule="exact"/>
        <w:jc w:val="center"/>
        <w:rPr>
          <w:rFonts w:hAnsi="宋体" w:cs="宋体"/>
          <w:b/>
          <w:color w:val="auto"/>
          <w:sz w:val="36"/>
          <w:highlight w:val="none"/>
        </w:rPr>
      </w:pPr>
    </w:p>
    <w:p w14:paraId="05984B24">
      <w:pPr>
        <w:pStyle w:val="13"/>
        <w:shd w:val="clear" w:color="auto" w:fill="FFFFFF" w:themeFill="background1"/>
        <w:tabs>
          <w:tab w:val="left" w:pos="2472"/>
        </w:tabs>
        <w:spacing w:line="460" w:lineRule="exact"/>
        <w:jc w:val="center"/>
        <w:rPr>
          <w:rFonts w:hAnsi="宋体" w:cs="宋体"/>
          <w:b/>
          <w:color w:val="auto"/>
          <w:sz w:val="36"/>
          <w:highlight w:val="none"/>
        </w:rPr>
      </w:pPr>
    </w:p>
    <w:p w14:paraId="44E029BF">
      <w:pPr>
        <w:pStyle w:val="13"/>
        <w:shd w:val="clear" w:color="auto" w:fill="FFFFFF" w:themeFill="background1"/>
        <w:tabs>
          <w:tab w:val="left" w:pos="2472"/>
        </w:tabs>
        <w:spacing w:line="460" w:lineRule="exact"/>
        <w:jc w:val="center"/>
        <w:outlineLvl w:val="0"/>
        <w:rPr>
          <w:rFonts w:hAnsi="宋体" w:cs="宋体"/>
          <w:b/>
          <w:color w:val="auto"/>
          <w:sz w:val="36"/>
          <w:highlight w:val="none"/>
        </w:rPr>
      </w:pPr>
      <w:bookmarkStart w:id="331" w:name="_Toc9058"/>
      <w:bookmarkStart w:id="332" w:name="_Toc20993"/>
      <w:bookmarkStart w:id="333" w:name="_Toc9012"/>
      <w:bookmarkStart w:id="334" w:name="_Toc27014"/>
      <w:bookmarkStart w:id="335" w:name="_Toc26262"/>
      <w:bookmarkStart w:id="336" w:name="_Toc7167"/>
      <w:bookmarkStart w:id="337" w:name="_Toc3838"/>
      <w:bookmarkStart w:id="338" w:name="_Toc3422"/>
      <w:bookmarkStart w:id="339" w:name="_Toc17049"/>
      <w:bookmarkStart w:id="340" w:name="_Toc32021"/>
      <w:bookmarkStart w:id="341" w:name="_Toc29347"/>
      <w:bookmarkStart w:id="342" w:name="_Toc25572"/>
      <w:bookmarkStart w:id="343" w:name="_Toc31791"/>
      <w:r>
        <w:rPr>
          <w:rFonts w:hint="eastAsia" w:hAnsi="宋体" w:cs="宋体"/>
          <w:b/>
          <w:color w:val="auto"/>
          <w:sz w:val="36"/>
          <w:highlight w:val="none"/>
        </w:rPr>
        <w:t>第五章 拟签订的合同文本</w:t>
      </w:r>
      <w:bookmarkEnd w:id="331"/>
      <w:bookmarkEnd w:id="332"/>
      <w:bookmarkEnd w:id="333"/>
      <w:bookmarkEnd w:id="334"/>
      <w:bookmarkEnd w:id="335"/>
      <w:bookmarkEnd w:id="336"/>
      <w:bookmarkEnd w:id="337"/>
      <w:bookmarkEnd w:id="338"/>
      <w:bookmarkEnd w:id="339"/>
      <w:bookmarkEnd w:id="340"/>
      <w:bookmarkEnd w:id="341"/>
      <w:bookmarkEnd w:id="342"/>
      <w:bookmarkEnd w:id="343"/>
    </w:p>
    <w:p w14:paraId="30C4CCC2">
      <w:pPr>
        <w:widowControl/>
        <w:shd w:val="clear" w:color="auto" w:fill="FFFFFF" w:themeFill="background1"/>
        <w:jc w:val="left"/>
        <w:rPr>
          <w:rFonts w:ascii="宋体" w:hAnsi="宋体" w:cs="宋体"/>
          <w:bCs/>
          <w:color w:val="auto"/>
          <w:szCs w:val="20"/>
          <w:highlight w:val="none"/>
        </w:rPr>
        <w:sectPr>
          <w:pgSz w:w="11905" w:h="16838"/>
          <w:pgMar w:top="1134" w:right="1134" w:bottom="1134" w:left="1134" w:header="850" w:footer="850" w:gutter="0"/>
          <w:cols w:space="0" w:num="1"/>
          <w:titlePg/>
          <w:docGrid w:linePitch="331" w:charSpace="0"/>
        </w:sectPr>
      </w:pPr>
    </w:p>
    <w:p w14:paraId="1FD6FEF1">
      <w:pPr>
        <w:pStyle w:val="13"/>
        <w:shd w:val="clear" w:color="auto" w:fill="FFFFFF" w:themeFill="background1"/>
        <w:jc w:val="center"/>
        <w:rPr>
          <w:rFonts w:hAnsi="宋体"/>
          <w:b/>
          <w:color w:val="auto"/>
          <w:sz w:val="52"/>
          <w:szCs w:val="52"/>
          <w:highlight w:val="none"/>
        </w:rPr>
      </w:pPr>
    </w:p>
    <w:p w14:paraId="11F1551A">
      <w:pPr>
        <w:pStyle w:val="13"/>
        <w:shd w:val="clear" w:color="auto" w:fill="FFFFFF" w:themeFill="background1"/>
        <w:jc w:val="center"/>
        <w:rPr>
          <w:rFonts w:ascii="方正大标宋简体" w:hAnsi="方正大标宋简体" w:eastAsia="方正大标宋简体" w:cs="方正大标宋简体"/>
          <w:bCs/>
          <w:color w:val="auto"/>
          <w:sz w:val="72"/>
          <w:szCs w:val="72"/>
          <w:highlight w:val="none"/>
        </w:rPr>
      </w:pPr>
      <w:r>
        <w:rPr>
          <w:rFonts w:hint="eastAsia" w:ascii="方正大标宋简体" w:hAnsi="方正大标宋简体" w:eastAsia="方正大标宋简体" w:cs="方正大标宋简体"/>
          <w:bCs/>
          <w:color w:val="auto"/>
          <w:sz w:val="72"/>
          <w:szCs w:val="72"/>
          <w:highlight w:val="none"/>
        </w:rPr>
        <w:t>采购合同</w:t>
      </w:r>
    </w:p>
    <w:p w14:paraId="05A350ED">
      <w:pPr>
        <w:pStyle w:val="13"/>
        <w:shd w:val="clear" w:color="auto" w:fill="FFFFFF" w:themeFill="background1"/>
        <w:rPr>
          <w:rFonts w:hAnsi="宋体"/>
          <w:color w:val="auto"/>
          <w:highlight w:val="none"/>
        </w:rPr>
      </w:pPr>
    </w:p>
    <w:p w14:paraId="67E00FBA">
      <w:pPr>
        <w:pStyle w:val="13"/>
        <w:shd w:val="clear" w:color="auto" w:fill="FFFFFF" w:themeFill="background1"/>
        <w:rPr>
          <w:rFonts w:hAnsi="宋体"/>
          <w:color w:val="auto"/>
          <w:highlight w:val="none"/>
        </w:rPr>
      </w:pPr>
    </w:p>
    <w:p w14:paraId="4E34E73C">
      <w:pPr>
        <w:pStyle w:val="13"/>
        <w:shd w:val="clear" w:color="auto" w:fill="FFFFFF" w:themeFill="background1"/>
        <w:rPr>
          <w:rFonts w:hAnsi="宋体"/>
          <w:color w:val="auto"/>
          <w:highlight w:val="none"/>
        </w:rPr>
      </w:pPr>
    </w:p>
    <w:p w14:paraId="2B49B889">
      <w:pPr>
        <w:pStyle w:val="13"/>
        <w:shd w:val="clear" w:color="auto" w:fill="FFFFFF" w:themeFill="background1"/>
        <w:rPr>
          <w:rFonts w:hAnsi="宋体"/>
          <w:color w:val="auto"/>
          <w:highlight w:val="none"/>
        </w:rPr>
      </w:pPr>
    </w:p>
    <w:p w14:paraId="7A9F0E62">
      <w:pPr>
        <w:pStyle w:val="13"/>
        <w:shd w:val="clear" w:color="auto" w:fill="FFFFFF" w:themeFill="background1"/>
        <w:rPr>
          <w:rFonts w:hAnsi="宋体"/>
          <w:color w:val="auto"/>
          <w:highlight w:val="none"/>
        </w:rPr>
      </w:pPr>
    </w:p>
    <w:p w14:paraId="0D9BC7A3">
      <w:pPr>
        <w:pStyle w:val="13"/>
        <w:shd w:val="clear" w:color="auto" w:fill="FFFFFF" w:themeFill="background1"/>
        <w:rPr>
          <w:rFonts w:hAnsi="宋体"/>
          <w:color w:val="auto"/>
          <w:highlight w:val="none"/>
        </w:rPr>
      </w:pPr>
    </w:p>
    <w:p w14:paraId="45BD3B01">
      <w:pPr>
        <w:pStyle w:val="13"/>
        <w:shd w:val="clear" w:color="auto" w:fill="FFFFFF" w:themeFill="background1"/>
        <w:rPr>
          <w:rFonts w:hAnsi="宋体" w:cs="宋体"/>
          <w:color w:val="auto"/>
          <w:highlight w:val="none"/>
        </w:rPr>
      </w:pPr>
    </w:p>
    <w:p w14:paraId="3EB24941">
      <w:pPr>
        <w:pStyle w:val="13"/>
        <w:shd w:val="clear" w:color="auto" w:fill="FFFFFF" w:themeFill="background1"/>
        <w:ind w:firstLine="1584" w:firstLineChars="495"/>
        <w:rPr>
          <w:rFonts w:hAnsi="宋体" w:cs="宋体"/>
          <w:bCs/>
          <w:color w:val="auto"/>
          <w:sz w:val="32"/>
          <w:szCs w:val="32"/>
          <w:highlight w:val="none"/>
          <w:u w:val="single"/>
        </w:rPr>
      </w:pPr>
      <w:r>
        <w:rPr>
          <w:rFonts w:hint="eastAsia" w:hAnsi="宋体" w:cs="宋体"/>
          <w:bCs/>
          <w:color w:val="auto"/>
          <w:sz w:val="32"/>
          <w:szCs w:val="32"/>
          <w:highlight w:val="none"/>
        </w:rPr>
        <w:t>合同名称：</w:t>
      </w:r>
      <w:r>
        <w:rPr>
          <w:rFonts w:hint="eastAsia" w:hAnsi="宋体" w:cs="宋体"/>
          <w:bCs/>
          <w:color w:val="auto"/>
          <w:sz w:val="32"/>
          <w:szCs w:val="32"/>
          <w:highlight w:val="none"/>
          <w:u w:val="single"/>
        </w:rPr>
        <w:t xml:space="preserve">                    </w:t>
      </w:r>
    </w:p>
    <w:p w14:paraId="746B2FA3">
      <w:pPr>
        <w:pStyle w:val="13"/>
        <w:shd w:val="clear" w:color="auto" w:fill="FFFFFF" w:themeFill="background1"/>
        <w:ind w:firstLine="1584" w:firstLineChars="495"/>
        <w:rPr>
          <w:rFonts w:hAnsi="宋体" w:cs="宋体"/>
          <w:bCs/>
          <w:color w:val="auto"/>
          <w:sz w:val="32"/>
          <w:szCs w:val="32"/>
          <w:highlight w:val="none"/>
          <w:u w:val="single"/>
        </w:rPr>
      </w:pPr>
    </w:p>
    <w:p w14:paraId="01B7E1C5">
      <w:pPr>
        <w:pStyle w:val="13"/>
        <w:shd w:val="clear" w:color="auto" w:fill="FFFFFF" w:themeFill="background1"/>
        <w:ind w:firstLine="1584" w:firstLineChars="495"/>
        <w:rPr>
          <w:rFonts w:hAnsi="宋体" w:cs="宋体"/>
          <w:bCs/>
          <w:color w:val="auto"/>
          <w:sz w:val="32"/>
          <w:szCs w:val="32"/>
          <w:highlight w:val="none"/>
          <w:u w:val="single"/>
        </w:rPr>
      </w:pPr>
      <w:r>
        <w:rPr>
          <w:rFonts w:hint="eastAsia" w:hAnsi="宋体" w:cs="宋体"/>
          <w:bCs/>
          <w:color w:val="auto"/>
          <w:sz w:val="32"/>
          <w:szCs w:val="32"/>
          <w:highlight w:val="none"/>
        </w:rPr>
        <w:t>合同编号：</w:t>
      </w:r>
      <w:r>
        <w:rPr>
          <w:rFonts w:hint="eastAsia" w:hAnsi="宋体" w:cs="宋体"/>
          <w:bCs/>
          <w:color w:val="auto"/>
          <w:sz w:val="32"/>
          <w:szCs w:val="32"/>
          <w:highlight w:val="none"/>
          <w:u w:val="single"/>
        </w:rPr>
        <w:t xml:space="preserve">                    </w:t>
      </w:r>
    </w:p>
    <w:p w14:paraId="26E736FF">
      <w:pPr>
        <w:pStyle w:val="13"/>
        <w:shd w:val="clear" w:color="auto" w:fill="FFFFFF" w:themeFill="background1"/>
        <w:jc w:val="center"/>
        <w:rPr>
          <w:rFonts w:hAnsi="宋体" w:cs="宋体"/>
          <w:bCs/>
          <w:color w:val="auto"/>
          <w:highlight w:val="none"/>
        </w:rPr>
      </w:pPr>
    </w:p>
    <w:p w14:paraId="443BAB5E">
      <w:pPr>
        <w:pStyle w:val="13"/>
        <w:shd w:val="clear" w:color="auto" w:fill="FFFFFF" w:themeFill="background1"/>
        <w:jc w:val="center"/>
        <w:rPr>
          <w:rFonts w:hAnsi="宋体" w:cs="宋体"/>
          <w:bCs/>
          <w:color w:val="auto"/>
          <w:highlight w:val="none"/>
        </w:rPr>
      </w:pPr>
    </w:p>
    <w:p w14:paraId="02F27101">
      <w:pPr>
        <w:pStyle w:val="13"/>
        <w:shd w:val="clear" w:color="auto" w:fill="FFFFFF" w:themeFill="background1"/>
        <w:jc w:val="center"/>
        <w:rPr>
          <w:rFonts w:hAnsi="宋体" w:cs="宋体"/>
          <w:bCs/>
          <w:color w:val="auto"/>
          <w:highlight w:val="none"/>
        </w:rPr>
      </w:pPr>
    </w:p>
    <w:p w14:paraId="05E58F1E">
      <w:pPr>
        <w:pStyle w:val="13"/>
        <w:shd w:val="clear" w:color="auto" w:fill="FFFFFF" w:themeFill="background1"/>
        <w:jc w:val="center"/>
        <w:rPr>
          <w:rFonts w:hAnsi="宋体" w:cs="宋体"/>
          <w:bCs/>
          <w:color w:val="auto"/>
          <w:highlight w:val="none"/>
        </w:rPr>
      </w:pPr>
    </w:p>
    <w:p w14:paraId="52E92A6B">
      <w:pPr>
        <w:pStyle w:val="13"/>
        <w:shd w:val="clear" w:color="auto" w:fill="FFFFFF" w:themeFill="background1"/>
        <w:jc w:val="center"/>
        <w:rPr>
          <w:rFonts w:hAnsi="宋体" w:cs="宋体"/>
          <w:bCs/>
          <w:color w:val="auto"/>
          <w:highlight w:val="none"/>
        </w:rPr>
      </w:pPr>
    </w:p>
    <w:p w14:paraId="2E1EC974">
      <w:pPr>
        <w:pStyle w:val="13"/>
        <w:shd w:val="clear" w:color="auto" w:fill="FFFFFF" w:themeFill="background1"/>
        <w:spacing w:line="340" w:lineRule="exact"/>
        <w:ind w:firstLine="1584" w:firstLineChars="495"/>
        <w:rPr>
          <w:rFonts w:hAnsi="宋体" w:cs="宋体"/>
          <w:bCs/>
          <w:color w:val="auto"/>
          <w:sz w:val="32"/>
          <w:szCs w:val="32"/>
          <w:highlight w:val="none"/>
        </w:rPr>
      </w:pPr>
      <w:r>
        <w:rPr>
          <w:rFonts w:hint="eastAsia" w:hAnsi="宋体" w:cs="宋体"/>
          <w:bCs/>
          <w:color w:val="auto"/>
          <w:sz w:val="32"/>
          <w:szCs w:val="32"/>
          <w:highlight w:val="none"/>
        </w:rPr>
        <w:t>采购单位（甲方）</w:t>
      </w:r>
      <w:r>
        <w:rPr>
          <w:rFonts w:hint="eastAsia" w:hAnsi="宋体" w:cs="宋体"/>
          <w:bCs/>
          <w:color w:val="auto"/>
          <w:sz w:val="32"/>
          <w:szCs w:val="32"/>
          <w:highlight w:val="none"/>
          <w:u w:val="single"/>
        </w:rPr>
        <w:t xml:space="preserve">                    </w:t>
      </w:r>
    </w:p>
    <w:p w14:paraId="132E0C3D">
      <w:pPr>
        <w:pStyle w:val="13"/>
        <w:shd w:val="clear" w:color="auto" w:fill="FFFFFF" w:themeFill="background1"/>
        <w:spacing w:line="340" w:lineRule="exact"/>
        <w:ind w:firstLine="1584" w:firstLineChars="495"/>
        <w:rPr>
          <w:rFonts w:hAnsi="宋体" w:cs="宋体"/>
          <w:bCs/>
          <w:color w:val="auto"/>
          <w:sz w:val="32"/>
          <w:szCs w:val="32"/>
          <w:highlight w:val="none"/>
        </w:rPr>
      </w:pPr>
    </w:p>
    <w:p w14:paraId="28C37C37">
      <w:pPr>
        <w:pStyle w:val="13"/>
        <w:shd w:val="clear" w:color="auto" w:fill="FFFFFF" w:themeFill="background1"/>
        <w:spacing w:line="340" w:lineRule="exact"/>
        <w:rPr>
          <w:rFonts w:hAnsi="宋体" w:cs="宋体"/>
          <w:bCs/>
          <w:color w:val="auto"/>
          <w:sz w:val="32"/>
          <w:szCs w:val="32"/>
          <w:highlight w:val="none"/>
        </w:rPr>
      </w:pPr>
    </w:p>
    <w:p w14:paraId="445E4931">
      <w:pPr>
        <w:pStyle w:val="13"/>
        <w:shd w:val="clear" w:color="auto" w:fill="FFFFFF" w:themeFill="background1"/>
        <w:spacing w:line="340" w:lineRule="exact"/>
        <w:ind w:firstLine="1584" w:firstLineChars="495"/>
        <w:rPr>
          <w:rFonts w:hAnsi="宋体" w:cs="宋体"/>
          <w:bCs/>
          <w:color w:val="auto"/>
          <w:sz w:val="32"/>
          <w:szCs w:val="32"/>
          <w:highlight w:val="none"/>
        </w:rPr>
      </w:pPr>
      <w:r>
        <w:rPr>
          <w:rFonts w:hint="eastAsia" w:hAnsi="宋体" w:cs="宋体"/>
          <w:bCs/>
          <w:color w:val="auto"/>
          <w:sz w:val="32"/>
          <w:szCs w:val="32"/>
          <w:highlight w:val="none"/>
        </w:rPr>
        <w:t>供 应 商（乙方）</w:t>
      </w:r>
      <w:r>
        <w:rPr>
          <w:rFonts w:hint="eastAsia" w:hAnsi="宋体" w:cs="宋体"/>
          <w:bCs/>
          <w:color w:val="auto"/>
          <w:sz w:val="32"/>
          <w:szCs w:val="32"/>
          <w:highlight w:val="none"/>
          <w:u w:val="single"/>
        </w:rPr>
        <w:t xml:space="preserve">                   </w:t>
      </w:r>
    </w:p>
    <w:p w14:paraId="31518800">
      <w:pPr>
        <w:pStyle w:val="13"/>
        <w:shd w:val="clear" w:color="auto" w:fill="FFFFFF" w:themeFill="background1"/>
        <w:spacing w:line="340" w:lineRule="exact"/>
        <w:ind w:firstLine="1039" w:firstLineChars="495"/>
        <w:rPr>
          <w:rFonts w:ascii="方正公文小标宋" w:hAnsi="方正公文小标宋" w:eastAsia="方正公文小标宋" w:cs="方正公文小标宋"/>
          <w:bCs/>
          <w:color w:val="auto"/>
          <w:highlight w:val="none"/>
        </w:rPr>
      </w:pPr>
      <w:r>
        <w:rPr>
          <w:rFonts w:hint="eastAsia" w:ascii="方正公文小标宋" w:hAnsi="方正公文小标宋" w:eastAsia="方正公文小标宋" w:cs="方正公文小标宋"/>
          <w:bCs/>
          <w:color w:val="auto"/>
          <w:highlight w:val="none"/>
        </w:rPr>
        <w:t xml:space="preserve">     </w:t>
      </w:r>
    </w:p>
    <w:p w14:paraId="366DB55D">
      <w:pPr>
        <w:pStyle w:val="13"/>
        <w:shd w:val="clear" w:color="auto" w:fill="FFFFFF" w:themeFill="background1"/>
        <w:jc w:val="center"/>
        <w:rPr>
          <w:rFonts w:hAnsi="宋体"/>
          <w:color w:val="auto"/>
          <w:highlight w:val="none"/>
        </w:rPr>
      </w:pPr>
    </w:p>
    <w:p w14:paraId="68F41204">
      <w:pPr>
        <w:pStyle w:val="13"/>
        <w:shd w:val="clear" w:color="auto" w:fill="FFFFFF" w:themeFill="background1"/>
        <w:jc w:val="center"/>
        <w:rPr>
          <w:rFonts w:hAnsi="宋体"/>
          <w:color w:val="auto"/>
          <w:highlight w:val="none"/>
        </w:rPr>
      </w:pPr>
    </w:p>
    <w:p w14:paraId="3070F363">
      <w:pPr>
        <w:pStyle w:val="13"/>
        <w:shd w:val="clear" w:color="auto" w:fill="FFFFFF" w:themeFill="background1"/>
        <w:jc w:val="center"/>
        <w:rPr>
          <w:rFonts w:hAnsi="宋体"/>
          <w:color w:val="auto"/>
          <w:highlight w:val="none"/>
        </w:rPr>
      </w:pPr>
    </w:p>
    <w:p w14:paraId="404C7DC8">
      <w:pPr>
        <w:pStyle w:val="13"/>
        <w:shd w:val="clear" w:color="auto" w:fill="FFFFFF" w:themeFill="background1"/>
        <w:jc w:val="center"/>
        <w:rPr>
          <w:rFonts w:hAnsi="宋体"/>
          <w:color w:val="auto"/>
          <w:highlight w:val="none"/>
        </w:rPr>
      </w:pPr>
    </w:p>
    <w:p w14:paraId="7F87BBAB">
      <w:pPr>
        <w:pStyle w:val="13"/>
        <w:shd w:val="clear" w:color="auto" w:fill="FFFFFF" w:themeFill="background1"/>
        <w:jc w:val="center"/>
        <w:rPr>
          <w:rFonts w:hAnsi="宋体"/>
          <w:color w:val="auto"/>
          <w:highlight w:val="none"/>
        </w:rPr>
      </w:pPr>
    </w:p>
    <w:p w14:paraId="6484A3B7">
      <w:pPr>
        <w:pStyle w:val="13"/>
        <w:shd w:val="clear" w:color="auto" w:fill="FFFFFF" w:themeFill="background1"/>
        <w:jc w:val="center"/>
        <w:rPr>
          <w:rFonts w:hAnsi="宋体"/>
          <w:color w:val="auto"/>
          <w:highlight w:val="none"/>
        </w:rPr>
      </w:pPr>
    </w:p>
    <w:p w14:paraId="5BFF15AE">
      <w:pPr>
        <w:pStyle w:val="13"/>
        <w:shd w:val="clear" w:color="auto" w:fill="FFFFFF" w:themeFill="background1"/>
        <w:jc w:val="center"/>
        <w:rPr>
          <w:rFonts w:hAnsi="宋体"/>
          <w:color w:val="auto"/>
          <w:highlight w:val="none"/>
        </w:rPr>
      </w:pPr>
    </w:p>
    <w:p w14:paraId="1D024875">
      <w:pPr>
        <w:pStyle w:val="13"/>
        <w:shd w:val="clear" w:color="auto" w:fill="FFFFFF" w:themeFill="background1"/>
        <w:jc w:val="center"/>
        <w:rPr>
          <w:rFonts w:hAnsi="宋体"/>
          <w:color w:val="auto"/>
          <w:highlight w:val="none"/>
        </w:rPr>
      </w:pPr>
    </w:p>
    <w:p w14:paraId="16A21ACF">
      <w:pPr>
        <w:shd w:val="clear" w:color="auto" w:fill="FFFFFF" w:themeFill="background1"/>
        <w:rPr>
          <w:rFonts w:ascii="黑体" w:hAnsi="宋体" w:eastAsia="黑体"/>
          <w:b/>
          <w:color w:val="auto"/>
          <w:sz w:val="44"/>
          <w:szCs w:val="44"/>
          <w:highlight w:val="none"/>
        </w:rPr>
      </w:pPr>
      <w:r>
        <w:rPr>
          <w:rFonts w:hint="eastAsia" w:ascii="黑体" w:hAnsi="宋体" w:eastAsia="黑体"/>
          <w:b/>
          <w:color w:val="auto"/>
          <w:sz w:val="44"/>
          <w:szCs w:val="44"/>
          <w:highlight w:val="none"/>
        </w:rPr>
        <w:br w:type="page"/>
      </w:r>
    </w:p>
    <w:p w14:paraId="0B5E7C27">
      <w:pPr>
        <w:shd w:val="clear" w:color="auto" w:fill="FFFFFF" w:themeFill="background1"/>
        <w:snapToGrid w:val="0"/>
        <w:spacing w:line="400" w:lineRule="exact"/>
        <w:jc w:val="center"/>
        <w:rPr>
          <w:rFonts w:ascii="宋体" w:hAnsi="宋体" w:cs="宋体"/>
          <w:color w:val="auto"/>
          <w:highlight w:val="none"/>
        </w:rPr>
      </w:pPr>
      <w:r>
        <w:rPr>
          <w:rFonts w:hint="eastAsia" w:ascii="宋体" w:hAnsi="宋体" w:cs="宋体"/>
          <w:b/>
          <w:bCs/>
          <w:color w:val="auto"/>
          <w:sz w:val="32"/>
          <w:szCs w:val="32"/>
          <w:highlight w:val="none"/>
        </w:rPr>
        <w:t>《广西壮族自治区政府采购合同》</w:t>
      </w:r>
      <w:r>
        <w:rPr>
          <w:rFonts w:hint="eastAsia" w:ascii="宋体" w:hAnsi="宋体" w:cs="宋体"/>
          <w:b/>
          <w:color w:val="auto"/>
          <w:sz w:val="32"/>
          <w:szCs w:val="32"/>
          <w:highlight w:val="none"/>
        </w:rPr>
        <w:t>文本</w:t>
      </w:r>
    </w:p>
    <w:p w14:paraId="1736E83A">
      <w:pPr>
        <w:shd w:val="clear" w:color="auto" w:fill="FFFFFF" w:themeFill="background1"/>
        <w:spacing w:line="520" w:lineRule="exact"/>
        <w:rPr>
          <w:rFonts w:ascii="宋体" w:hAnsi="宋体" w:cs="宋体"/>
          <w:b/>
          <w:color w:val="auto"/>
          <w:sz w:val="32"/>
          <w:szCs w:val="32"/>
          <w:highlight w:val="none"/>
        </w:rPr>
      </w:pPr>
    </w:p>
    <w:p w14:paraId="1EE3CC1D">
      <w:pPr>
        <w:wordWrap w:val="0"/>
        <w:snapToGrid w:val="0"/>
        <w:spacing w:line="400" w:lineRule="exact"/>
        <w:ind w:right="480"/>
        <w:rPr>
          <w:rFonts w:ascii="宋体" w:hAnsi="宋体" w:cs="宋体"/>
          <w:bCs/>
          <w:color w:val="auto"/>
          <w:szCs w:val="21"/>
          <w:highlight w:val="none"/>
          <w:u w:val="single"/>
        </w:rPr>
      </w:pPr>
      <w:r>
        <w:rPr>
          <w:rFonts w:hint="eastAsia" w:ascii="宋体" w:hAnsi="宋体" w:cs="宋体"/>
          <w:bCs/>
          <w:color w:val="auto"/>
          <w:szCs w:val="21"/>
          <w:highlight w:val="none"/>
        </w:rPr>
        <w:t xml:space="preserve">合同编号：                                 </w:t>
      </w:r>
    </w:p>
    <w:p w14:paraId="45E03FEB">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采购单位（甲方）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采购计划号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w:t>
      </w:r>
    </w:p>
    <w:p w14:paraId="28824C92">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供 应 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项目名称和编号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w:t>
      </w:r>
    </w:p>
    <w:p w14:paraId="212CC240">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 xml:space="preserve">签  订  地  点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 订 时 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w:t>
      </w:r>
    </w:p>
    <w:p w14:paraId="21F6CCB1">
      <w:pPr>
        <w:snapToGrid w:val="0"/>
        <w:spacing w:line="300" w:lineRule="auto"/>
        <w:ind w:firstLine="420" w:firstLineChars="200"/>
        <w:jc w:val="left"/>
        <w:rPr>
          <w:rFonts w:ascii="宋体" w:hAnsi="宋体" w:cs="宋体"/>
          <w:color w:val="auto"/>
          <w:szCs w:val="21"/>
          <w:highlight w:val="none"/>
        </w:rPr>
      </w:pPr>
    </w:p>
    <w:p w14:paraId="6E191868">
      <w:pPr>
        <w:snapToGrid w:val="0"/>
        <w:spacing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根据《中华人民共和国政府采购法》、《</w:t>
      </w:r>
      <w:r>
        <w:rPr>
          <w:rFonts w:hint="eastAsia" w:ascii="宋体" w:hAnsi="宋体" w:cs="宋体"/>
          <w:color w:val="auto"/>
          <w:szCs w:val="21"/>
          <w:highlight w:val="none"/>
          <w:shd w:val="clear" w:color="auto" w:fill="FFFFFF"/>
        </w:rPr>
        <w:t>中华人民共和国民法典</w:t>
      </w:r>
      <w:r>
        <w:rPr>
          <w:rFonts w:hint="eastAsia" w:ascii="宋体" w:hAnsi="宋体" w:cs="宋体"/>
          <w:color w:val="auto"/>
          <w:szCs w:val="21"/>
          <w:highlight w:val="none"/>
        </w:rPr>
        <w:t>》等法律、法规规定，按照招投标文件（采购文件）规定条款和中标供应商承诺，甲乙双方签订本合同。</w:t>
      </w:r>
    </w:p>
    <w:p w14:paraId="22CA6BE3">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51E9853D">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1、服务内容一览表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31"/>
        <w:gridCol w:w="2506"/>
        <w:gridCol w:w="850"/>
        <w:gridCol w:w="760"/>
        <w:gridCol w:w="1275"/>
        <w:gridCol w:w="1295"/>
      </w:tblGrid>
      <w:tr w14:paraId="0CC4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636" w:type="dxa"/>
            <w:vAlign w:val="center"/>
          </w:tcPr>
          <w:p w14:paraId="69EB2222">
            <w:pPr>
              <w:snapToGrid w:val="0"/>
              <w:spacing w:before="120"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31" w:type="dxa"/>
            <w:vAlign w:val="center"/>
          </w:tcPr>
          <w:p w14:paraId="541B17DD">
            <w:pPr>
              <w:snapToGrid w:val="0"/>
              <w:spacing w:before="120"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服务名称</w:t>
            </w:r>
          </w:p>
        </w:tc>
        <w:tc>
          <w:tcPr>
            <w:tcW w:w="2506" w:type="dxa"/>
            <w:vAlign w:val="center"/>
          </w:tcPr>
          <w:p w14:paraId="06CD3A0F">
            <w:pPr>
              <w:snapToGrid w:val="0"/>
              <w:spacing w:before="120" w:line="360" w:lineRule="auto"/>
              <w:jc w:val="center"/>
              <w:rPr>
                <w:rFonts w:ascii="宋体" w:hAnsi="宋体" w:cs="宋体"/>
                <w:b/>
                <w:color w:val="auto"/>
                <w:szCs w:val="21"/>
                <w:highlight w:val="none"/>
              </w:rPr>
            </w:pPr>
            <w:r>
              <w:rPr>
                <w:rFonts w:hint="eastAsia" w:ascii="宋体" w:hAnsi="宋体" w:cs="宋体"/>
                <w:b/>
                <w:color w:val="auto"/>
                <w:szCs w:val="21"/>
                <w:highlight w:val="none"/>
              </w:rPr>
              <w:t>详细内容</w:t>
            </w:r>
          </w:p>
        </w:tc>
        <w:tc>
          <w:tcPr>
            <w:tcW w:w="850" w:type="dxa"/>
            <w:vAlign w:val="center"/>
          </w:tcPr>
          <w:p w14:paraId="69A954B8">
            <w:pPr>
              <w:snapToGrid w:val="0"/>
              <w:spacing w:before="120"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760" w:type="dxa"/>
            <w:vAlign w:val="center"/>
          </w:tcPr>
          <w:p w14:paraId="1B66929A">
            <w:pPr>
              <w:snapToGrid w:val="0"/>
              <w:spacing w:before="120" w:line="360"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275" w:type="dxa"/>
            <w:vAlign w:val="center"/>
          </w:tcPr>
          <w:p w14:paraId="1F094308">
            <w:pPr>
              <w:snapToGrid w:val="0"/>
              <w:spacing w:before="120" w:line="360" w:lineRule="auto"/>
              <w:jc w:val="center"/>
              <w:rPr>
                <w:rFonts w:ascii="宋体" w:hAnsi="宋体" w:cs="宋体"/>
                <w:b/>
                <w:color w:val="auto"/>
                <w:szCs w:val="21"/>
                <w:highlight w:val="none"/>
              </w:rPr>
            </w:pPr>
            <w:r>
              <w:rPr>
                <w:rFonts w:hint="eastAsia" w:ascii="宋体" w:hAnsi="宋体" w:cs="宋体"/>
                <w:b/>
                <w:color w:val="auto"/>
                <w:szCs w:val="21"/>
                <w:highlight w:val="none"/>
              </w:rPr>
              <w:t>单价（元）</w:t>
            </w:r>
          </w:p>
        </w:tc>
        <w:tc>
          <w:tcPr>
            <w:tcW w:w="1295" w:type="dxa"/>
            <w:vAlign w:val="center"/>
          </w:tcPr>
          <w:p w14:paraId="5CDA83E0">
            <w:pPr>
              <w:snapToGrid w:val="0"/>
              <w:spacing w:before="120" w:line="360" w:lineRule="auto"/>
              <w:jc w:val="center"/>
              <w:rPr>
                <w:rFonts w:ascii="宋体" w:hAnsi="宋体" w:cs="宋体"/>
                <w:b/>
                <w:color w:val="auto"/>
                <w:szCs w:val="21"/>
                <w:highlight w:val="none"/>
              </w:rPr>
            </w:pPr>
            <w:r>
              <w:rPr>
                <w:rFonts w:hint="eastAsia" w:ascii="宋体" w:hAnsi="宋体" w:cs="宋体"/>
                <w:b/>
                <w:color w:val="auto"/>
                <w:szCs w:val="21"/>
                <w:highlight w:val="none"/>
              </w:rPr>
              <w:t>金额（元）</w:t>
            </w:r>
          </w:p>
        </w:tc>
      </w:tr>
      <w:tr w14:paraId="45ED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6" w:type="dxa"/>
            <w:vAlign w:val="center"/>
          </w:tcPr>
          <w:p w14:paraId="19D05FC8">
            <w:pPr>
              <w:snapToGrid w:val="0"/>
              <w:spacing w:before="120"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731" w:type="dxa"/>
            <w:vAlign w:val="center"/>
          </w:tcPr>
          <w:p w14:paraId="1110E3E6">
            <w:pPr>
              <w:snapToGrid w:val="0"/>
              <w:spacing w:before="120" w:line="360" w:lineRule="auto"/>
              <w:jc w:val="center"/>
              <w:rPr>
                <w:rFonts w:ascii="宋体" w:hAnsi="宋体" w:cs="宋体"/>
                <w:color w:val="auto"/>
                <w:szCs w:val="21"/>
                <w:highlight w:val="none"/>
              </w:rPr>
            </w:pPr>
          </w:p>
        </w:tc>
        <w:tc>
          <w:tcPr>
            <w:tcW w:w="2506" w:type="dxa"/>
            <w:vAlign w:val="center"/>
          </w:tcPr>
          <w:p w14:paraId="1E5FBB21">
            <w:pPr>
              <w:snapToGrid w:val="0"/>
              <w:spacing w:before="120" w:line="360" w:lineRule="auto"/>
              <w:jc w:val="center"/>
              <w:rPr>
                <w:rFonts w:ascii="宋体" w:hAnsi="宋体" w:cs="宋体"/>
                <w:color w:val="auto"/>
                <w:szCs w:val="21"/>
                <w:highlight w:val="none"/>
              </w:rPr>
            </w:pPr>
          </w:p>
        </w:tc>
        <w:tc>
          <w:tcPr>
            <w:tcW w:w="850" w:type="dxa"/>
            <w:vAlign w:val="center"/>
          </w:tcPr>
          <w:p w14:paraId="55D78204">
            <w:pPr>
              <w:snapToGrid w:val="0"/>
              <w:spacing w:before="120" w:line="360" w:lineRule="auto"/>
              <w:jc w:val="center"/>
              <w:rPr>
                <w:rFonts w:ascii="宋体" w:hAnsi="宋体" w:cs="宋体"/>
                <w:color w:val="auto"/>
                <w:szCs w:val="21"/>
                <w:highlight w:val="none"/>
              </w:rPr>
            </w:pPr>
          </w:p>
        </w:tc>
        <w:tc>
          <w:tcPr>
            <w:tcW w:w="760" w:type="dxa"/>
            <w:vAlign w:val="center"/>
          </w:tcPr>
          <w:p w14:paraId="25537A9A">
            <w:pPr>
              <w:snapToGrid w:val="0"/>
              <w:spacing w:before="120" w:line="360" w:lineRule="auto"/>
              <w:jc w:val="center"/>
              <w:rPr>
                <w:rFonts w:ascii="宋体" w:hAnsi="宋体" w:cs="宋体"/>
                <w:color w:val="auto"/>
                <w:szCs w:val="21"/>
                <w:highlight w:val="none"/>
              </w:rPr>
            </w:pPr>
          </w:p>
        </w:tc>
        <w:tc>
          <w:tcPr>
            <w:tcW w:w="1275" w:type="dxa"/>
            <w:vAlign w:val="center"/>
          </w:tcPr>
          <w:p w14:paraId="01A270AB">
            <w:pPr>
              <w:snapToGrid w:val="0"/>
              <w:spacing w:before="120" w:line="360" w:lineRule="auto"/>
              <w:jc w:val="center"/>
              <w:rPr>
                <w:rFonts w:ascii="宋体" w:hAnsi="宋体" w:cs="宋体"/>
                <w:color w:val="auto"/>
                <w:szCs w:val="21"/>
                <w:highlight w:val="none"/>
              </w:rPr>
            </w:pPr>
          </w:p>
        </w:tc>
        <w:tc>
          <w:tcPr>
            <w:tcW w:w="1295" w:type="dxa"/>
            <w:vAlign w:val="center"/>
          </w:tcPr>
          <w:p w14:paraId="4B69EFC1">
            <w:pPr>
              <w:snapToGrid w:val="0"/>
              <w:spacing w:before="120" w:line="360" w:lineRule="auto"/>
              <w:jc w:val="center"/>
              <w:rPr>
                <w:rFonts w:ascii="宋体" w:hAnsi="宋体" w:cs="宋体"/>
                <w:color w:val="auto"/>
                <w:szCs w:val="21"/>
                <w:highlight w:val="none"/>
              </w:rPr>
            </w:pPr>
          </w:p>
        </w:tc>
      </w:tr>
      <w:tr w14:paraId="42FD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6" w:type="dxa"/>
            <w:vAlign w:val="center"/>
          </w:tcPr>
          <w:p w14:paraId="23B23EAA">
            <w:pPr>
              <w:snapToGrid w:val="0"/>
              <w:spacing w:before="120" w:line="360" w:lineRule="auto"/>
              <w:jc w:val="center"/>
              <w:rPr>
                <w:rFonts w:ascii="宋体" w:hAnsi="宋体" w:cs="宋体"/>
                <w:color w:val="auto"/>
                <w:szCs w:val="21"/>
                <w:highlight w:val="none"/>
              </w:rPr>
            </w:pPr>
          </w:p>
        </w:tc>
        <w:tc>
          <w:tcPr>
            <w:tcW w:w="1731" w:type="dxa"/>
            <w:vAlign w:val="center"/>
          </w:tcPr>
          <w:p w14:paraId="2A3B1FA0">
            <w:pPr>
              <w:snapToGrid w:val="0"/>
              <w:spacing w:before="120" w:line="360" w:lineRule="auto"/>
              <w:jc w:val="center"/>
              <w:rPr>
                <w:rFonts w:ascii="宋体" w:hAnsi="宋体" w:cs="宋体"/>
                <w:color w:val="auto"/>
                <w:szCs w:val="21"/>
                <w:highlight w:val="none"/>
              </w:rPr>
            </w:pPr>
          </w:p>
        </w:tc>
        <w:tc>
          <w:tcPr>
            <w:tcW w:w="2506" w:type="dxa"/>
            <w:vAlign w:val="center"/>
          </w:tcPr>
          <w:p w14:paraId="6D8762F6">
            <w:pPr>
              <w:snapToGrid w:val="0"/>
              <w:spacing w:before="120" w:line="360" w:lineRule="auto"/>
              <w:jc w:val="center"/>
              <w:rPr>
                <w:rFonts w:ascii="宋体" w:hAnsi="宋体" w:cs="宋体"/>
                <w:color w:val="auto"/>
                <w:szCs w:val="21"/>
                <w:highlight w:val="none"/>
              </w:rPr>
            </w:pPr>
          </w:p>
        </w:tc>
        <w:tc>
          <w:tcPr>
            <w:tcW w:w="850" w:type="dxa"/>
            <w:vAlign w:val="center"/>
          </w:tcPr>
          <w:p w14:paraId="46208F8D">
            <w:pPr>
              <w:snapToGrid w:val="0"/>
              <w:spacing w:before="120" w:line="360" w:lineRule="auto"/>
              <w:jc w:val="center"/>
              <w:rPr>
                <w:rFonts w:ascii="宋体" w:hAnsi="宋体" w:cs="宋体"/>
                <w:color w:val="auto"/>
                <w:szCs w:val="21"/>
                <w:highlight w:val="none"/>
              </w:rPr>
            </w:pPr>
          </w:p>
        </w:tc>
        <w:tc>
          <w:tcPr>
            <w:tcW w:w="760" w:type="dxa"/>
            <w:vAlign w:val="center"/>
          </w:tcPr>
          <w:p w14:paraId="6521748F">
            <w:pPr>
              <w:snapToGrid w:val="0"/>
              <w:spacing w:before="120" w:line="360" w:lineRule="auto"/>
              <w:jc w:val="center"/>
              <w:rPr>
                <w:rFonts w:ascii="宋体" w:hAnsi="宋体" w:cs="宋体"/>
                <w:color w:val="auto"/>
                <w:szCs w:val="21"/>
                <w:highlight w:val="none"/>
              </w:rPr>
            </w:pPr>
          </w:p>
        </w:tc>
        <w:tc>
          <w:tcPr>
            <w:tcW w:w="1275" w:type="dxa"/>
            <w:vAlign w:val="center"/>
          </w:tcPr>
          <w:p w14:paraId="05F38320">
            <w:pPr>
              <w:snapToGrid w:val="0"/>
              <w:spacing w:before="120" w:line="360" w:lineRule="auto"/>
              <w:jc w:val="center"/>
              <w:rPr>
                <w:rFonts w:ascii="宋体" w:hAnsi="宋体" w:cs="宋体"/>
                <w:color w:val="auto"/>
                <w:szCs w:val="21"/>
                <w:highlight w:val="none"/>
              </w:rPr>
            </w:pPr>
          </w:p>
        </w:tc>
        <w:tc>
          <w:tcPr>
            <w:tcW w:w="1295" w:type="dxa"/>
            <w:vAlign w:val="center"/>
          </w:tcPr>
          <w:p w14:paraId="6CDF4AE0">
            <w:pPr>
              <w:snapToGrid w:val="0"/>
              <w:spacing w:before="120" w:line="360" w:lineRule="auto"/>
              <w:jc w:val="center"/>
              <w:rPr>
                <w:rFonts w:ascii="宋体" w:hAnsi="宋体" w:cs="宋体"/>
                <w:color w:val="auto"/>
                <w:szCs w:val="21"/>
                <w:highlight w:val="none"/>
              </w:rPr>
            </w:pPr>
          </w:p>
        </w:tc>
      </w:tr>
    </w:tbl>
    <w:p w14:paraId="056C1FFC">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2、合同合计金额包括人工、保险、税金、培训、售后等一切税金和费用。如招投标文件对其另有规定的，从其规定。</w:t>
      </w:r>
    </w:p>
    <w:p w14:paraId="538BE803">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3、合同价款的调整方式：因国家政策方向变化引起工作量或工作内容变化的，合同当事人双方可根据市场价格协商确定变更合同价款，但所有补充合同的采购金额不得超过原合同采购金额的百分之十。</w:t>
      </w:r>
    </w:p>
    <w:p w14:paraId="35A57AFC">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1E03ABD3">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乙方所提供的服务内容必须与招投标文件和承诺相一致。</w:t>
      </w:r>
    </w:p>
    <w:p w14:paraId="3BF95341">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第三条　权力保证</w:t>
      </w:r>
    </w:p>
    <w:p w14:paraId="17C26E9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乙方应保证所提供服务在使用时不会侵犯任何第三方的专利权、商标权、工业设计权或其他权利。</w:t>
      </w:r>
    </w:p>
    <w:p w14:paraId="4F459DCE">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乙方应按招标文件规定的时间向甲方提供服务的有关技术资料。</w:t>
      </w:r>
    </w:p>
    <w:p w14:paraId="69847E69">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没有甲方事先书面同意，乙方不得将由甲方提供的有关合同或任何合同条文、资料提供给与履行本合同无关的任何其他人。即使向履行本合同有关的人员提供，也应注意保密并限于履行合同的必需范围。如有泄漏，乙方需承担相应的法律责任。</w:t>
      </w:r>
    </w:p>
    <w:p w14:paraId="78F19D4E">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乙方保证所交付的服务的所有权完全属于乙方且无任何抵押、质押、查封等产权瑕疵。</w:t>
      </w:r>
    </w:p>
    <w:p w14:paraId="059EE30E">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第四条　维保服务期限</w:t>
      </w:r>
    </w:p>
    <w:tbl>
      <w:tblPr>
        <w:tblStyle w:val="23"/>
        <w:tblW w:w="46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1"/>
        <w:gridCol w:w="1804"/>
        <w:gridCol w:w="661"/>
        <w:gridCol w:w="1954"/>
      </w:tblGrid>
      <w:tr w14:paraId="3ABC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06" w:type="pct"/>
            <w:noWrap w:val="0"/>
            <w:vAlign w:val="center"/>
          </w:tcPr>
          <w:p w14:paraId="03531F67">
            <w:pPr>
              <w:keepNext w:val="0"/>
              <w:keepLines w:val="0"/>
              <w:pageBreakBefore w:val="0"/>
              <w:widowControl w:val="0"/>
              <w:kinsoku/>
              <w:overflowPunct/>
              <w:topLinePunct w:val="0"/>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设备名称</w:t>
            </w:r>
          </w:p>
        </w:tc>
        <w:tc>
          <w:tcPr>
            <w:tcW w:w="977" w:type="pct"/>
            <w:noWrap w:val="0"/>
            <w:vAlign w:val="center"/>
          </w:tcPr>
          <w:p w14:paraId="68DFD522">
            <w:pPr>
              <w:keepNext w:val="0"/>
              <w:keepLines w:val="0"/>
              <w:pageBreakBefore w:val="0"/>
              <w:widowControl w:val="0"/>
              <w:kinsoku/>
              <w:overflowPunct/>
              <w:topLinePunct w:val="0"/>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设备型号/序列号</w:t>
            </w:r>
          </w:p>
        </w:tc>
        <w:tc>
          <w:tcPr>
            <w:tcW w:w="358" w:type="pct"/>
            <w:noWrap w:val="0"/>
            <w:vAlign w:val="center"/>
          </w:tcPr>
          <w:p w14:paraId="73F5B9E9">
            <w:pPr>
              <w:keepNext w:val="0"/>
              <w:keepLines w:val="0"/>
              <w:pageBreakBefore w:val="0"/>
              <w:widowControl w:val="0"/>
              <w:kinsoku/>
              <w:overflowPunct/>
              <w:topLinePunct w:val="0"/>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058" w:type="pct"/>
            <w:noWrap w:val="0"/>
            <w:vAlign w:val="center"/>
          </w:tcPr>
          <w:p w14:paraId="09BF44DA">
            <w:pPr>
              <w:keepNext w:val="0"/>
              <w:keepLines w:val="0"/>
              <w:pageBreakBefore w:val="0"/>
              <w:widowControl w:val="0"/>
              <w:kinsoku/>
              <w:overflowPunct/>
              <w:topLinePunct w:val="0"/>
              <w:bidi w:val="0"/>
              <w:adjustRightInd/>
              <w:spacing w:line="24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备注</w:t>
            </w:r>
          </w:p>
        </w:tc>
      </w:tr>
      <w:tr w14:paraId="61EC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606" w:type="pct"/>
            <w:noWrap w:val="0"/>
            <w:vAlign w:val="center"/>
          </w:tcPr>
          <w:p w14:paraId="3D2B96E7">
            <w:pPr>
              <w:keepNext w:val="0"/>
              <w:keepLines w:val="0"/>
              <w:pageBreakBefore w:val="0"/>
              <w:widowControl w:val="0"/>
              <w:kinsoku/>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977" w:type="pct"/>
            <w:noWrap w:val="0"/>
            <w:vAlign w:val="center"/>
          </w:tcPr>
          <w:p w14:paraId="682D61DD">
            <w:pPr>
              <w:keepNext w:val="0"/>
              <w:keepLines w:val="0"/>
              <w:pageBreakBefore w:val="0"/>
              <w:widowControl w:val="0"/>
              <w:kinsoku/>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358" w:type="pct"/>
            <w:noWrap w:val="0"/>
            <w:vAlign w:val="center"/>
          </w:tcPr>
          <w:p w14:paraId="7A7B50EF">
            <w:pPr>
              <w:keepNext w:val="0"/>
              <w:keepLines w:val="0"/>
              <w:pageBreakBefore w:val="0"/>
              <w:widowControl w:val="0"/>
              <w:kinsoku/>
              <w:overflowPunct/>
              <w:topLinePunct w:val="0"/>
              <w:bidi w:val="0"/>
              <w:adjustRightInd/>
              <w:snapToGrid w:val="0"/>
              <w:spacing w:line="240" w:lineRule="auto"/>
              <w:jc w:val="center"/>
              <w:textAlignment w:val="auto"/>
              <w:rPr>
                <w:rFonts w:hint="eastAsia" w:ascii="宋体" w:hAnsi="宋体" w:eastAsia="宋体" w:cs="宋体"/>
                <w:bCs/>
                <w:color w:val="auto"/>
                <w:sz w:val="21"/>
                <w:szCs w:val="21"/>
                <w:highlight w:val="none"/>
              </w:rPr>
            </w:pPr>
          </w:p>
        </w:tc>
        <w:tc>
          <w:tcPr>
            <w:tcW w:w="1058" w:type="pct"/>
            <w:noWrap w:val="0"/>
            <w:vAlign w:val="center"/>
          </w:tcPr>
          <w:p w14:paraId="04FA626D">
            <w:pPr>
              <w:keepNext w:val="0"/>
              <w:keepLines w:val="0"/>
              <w:pageBreakBefore w:val="0"/>
              <w:widowControl w:val="0"/>
              <w:kinsoku/>
              <w:overflowPunct/>
              <w:topLinePunct w:val="0"/>
              <w:bidi w:val="0"/>
              <w:adjustRightInd/>
              <w:snapToGrid w:val="0"/>
              <w:spacing w:line="240" w:lineRule="auto"/>
              <w:jc w:val="center"/>
              <w:textAlignment w:val="auto"/>
              <w:rPr>
                <w:rFonts w:hint="eastAsia" w:ascii="宋体" w:hAnsi="宋体" w:eastAsia="宋体" w:cs="宋体"/>
                <w:bCs/>
                <w:color w:val="auto"/>
                <w:sz w:val="21"/>
                <w:szCs w:val="21"/>
                <w:highlight w:val="none"/>
                <w:lang w:val="en-US" w:eastAsia="zh-CN"/>
              </w:rPr>
            </w:pPr>
          </w:p>
        </w:tc>
      </w:tr>
      <w:tr w14:paraId="4E1C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06" w:type="pct"/>
            <w:noWrap w:val="0"/>
            <w:vAlign w:val="center"/>
          </w:tcPr>
          <w:p w14:paraId="5B6C96EB">
            <w:pPr>
              <w:keepNext w:val="0"/>
              <w:keepLines w:val="0"/>
              <w:pageBreakBefore w:val="0"/>
              <w:widowControl w:val="0"/>
              <w:kinsoku/>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977" w:type="pct"/>
            <w:noWrap w:val="0"/>
            <w:vAlign w:val="center"/>
          </w:tcPr>
          <w:p w14:paraId="0600890A">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lang w:val="en-US" w:eastAsia="zh-CN"/>
              </w:rPr>
            </w:pPr>
          </w:p>
        </w:tc>
        <w:tc>
          <w:tcPr>
            <w:tcW w:w="358" w:type="pct"/>
            <w:noWrap w:val="0"/>
            <w:vAlign w:val="center"/>
          </w:tcPr>
          <w:p w14:paraId="2C4CBD6B">
            <w:pPr>
              <w:keepNext w:val="0"/>
              <w:keepLines w:val="0"/>
              <w:pageBreakBefore w:val="0"/>
              <w:widowControl w:val="0"/>
              <w:kinsoku/>
              <w:overflowPunct/>
              <w:topLinePunct w:val="0"/>
              <w:bidi w:val="0"/>
              <w:adjustRightInd/>
              <w:snapToGrid w:val="0"/>
              <w:spacing w:line="240" w:lineRule="auto"/>
              <w:jc w:val="center"/>
              <w:textAlignment w:val="auto"/>
              <w:rPr>
                <w:rFonts w:hint="eastAsia" w:ascii="宋体" w:hAnsi="宋体" w:eastAsia="宋体" w:cs="宋体"/>
                <w:bCs/>
                <w:color w:val="auto"/>
                <w:sz w:val="21"/>
                <w:szCs w:val="21"/>
                <w:highlight w:val="none"/>
              </w:rPr>
            </w:pPr>
          </w:p>
        </w:tc>
        <w:tc>
          <w:tcPr>
            <w:tcW w:w="1058" w:type="pct"/>
            <w:noWrap w:val="0"/>
            <w:vAlign w:val="center"/>
          </w:tcPr>
          <w:p w14:paraId="54705641">
            <w:pPr>
              <w:keepNext w:val="0"/>
              <w:keepLines w:val="0"/>
              <w:pageBreakBefore w:val="0"/>
              <w:widowControl w:val="0"/>
              <w:kinsoku/>
              <w:overflowPunct/>
              <w:topLinePunct w:val="0"/>
              <w:bidi w:val="0"/>
              <w:adjustRightInd/>
              <w:snapToGrid w:val="0"/>
              <w:spacing w:line="240" w:lineRule="auto"/>
              <w:jc w:val="center"/>
              <w:textAlignment w:val="auto"/>
              <w:rPr>
                <w:rFonts w:hint="eastAsia" w:ascii="宋体" w:hAnsi="宋体" w:eastAsia="宋体" w:cs="宋体"/>
                <w:bCs/>
                <w:color w:val="auto"/>
                <w:sz w:val="21"/>
                <w:szCs w:val="21"/>
                <w:highlight w:val="none"/>
                <w:lang w:val="en-US" w:eastAsia="zh-CN"/>
              </w:rPr>
            </w:pPr>
          </w:p>
        </w:tc>
      </w:tr>
      <w:tr w14:paraId="67F9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606" w:type="pct"/>
            <w:noWrap w:val="0"/>
            <w:vAlign w:val="center"/>
          </w:tcPr>
          <w:p w14:paraId="634EACE6">
            <w:pPr>
              <w:keepNext w:val="0"/>
              <w:keepLines w:val="0"/>
              <w:pageBreakBefore w:val="0"/>
              <w:widowControl w:val="0"/>
              <w:kinsoku/>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977" w:type="pct"/>
            <w:noWrap w:val="0"/>
            <w:vAlign w:val="center"/>
          </w:tcPr>
          <w:p w14:paraId="1681603C">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lang w:val="en-US" w:eastAsia="zh-CN"/>
              </w:rPr>
            </w:pPr>
          </w:p>
        </w:tc>
        <w:tc>
          <w:tcPr>
            <w:tcW w:w="358" w:type="pct"/>
            <w:noWrap w:val="0"/>
            <w:vAlign w:val="center"/>
          </w:tcPr>
          <w:p w14:paraId="1B5F48D0">
            <w:pPr>
              <w:keepNext w:val="0"/>
              <w:keepLines w:val="0"/>
              <w:pageBreakBefore w:val="0"/>
              <w:widowControl w:val="0"/>
              <w:kinsoku/>
              <w:overflowPunct/>
              <w:topLinePunct w:val="0"/>
              <w:bidi w:val="0"/>
              <w:adjustRightInd/>
              <w:snapToGrid w:val="0"/>
              <w:spacing w:line="240" w:lineRule="auto"/>
              <w:jc w:val="center"/>
              <w:textAlignment w:val="auto"/>
              <w:rPr>
                <w:rFonts w:hint="eastAsia" w:ascii="宋体" w:hAnsi="宋体" w:eastAsia="宋体" w:cs="宋体"/>
                <w:bCs/>
                <w:color w:val="auto"/>
                <w:sz w:val="21"/>
                <w:szCs w:val="21"/>
                <w:highlight w:val="none"/>
              </w:rPr>
            </w:pPr>
          </w:p>
        </w:tc>
        <w:tc>
          <w:tcPr>
            <w:tcW w:w="1058" w:type="pct"/>
            <w:noWrap w:val="0"/>
            <w:vAlign w:val="center"/>
          </w:tcPr>
          <w:p w14:paraId="2889D584">
            <w:pPr>
              <w:keepNext w:val="0"/>
              <w:keepLines w:val="0"/>
              <w:pageBreakBefore w:val="0"/>
              <w:widowControl w:val="0"/>
              <w:kinsoku/>
              <w:overflowPunct/>
              <w:topLinePunct w:val="0"/>
              <w:bidi w:val="0"/>
              <w:adjustRightInd/>
              <w:snapToGrid w:val="0"/>
              <w:spacing w:line="240" w:lineRule="auto"/>
              <w:jc w:val="center"/>
              <w:textAlignment w:val="auto"/>
              <w:rPr>
                <w:rFonts w:hint="eastAsia" w:ascii="宋体" w:hAnsi="宋体" w:eastAsia="宋体" w:cs="宋体"/>
                <w:bCs/>
                <w:color w:val="auto"/>
                <w:sz w:val="21"/>
                <w:szCs w:val="21"/>
                <w:highlight w:val="none"/>
                <w:lang w:val="en-US" w:eastAsia="zh-CN"/>
              </w:rPr>
            </w:pPr>
          </w:p>
        </w:tc>
      </w:tr>
      <w:tr w14:paraId="055B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606" w:type="pct"/>
            <w:noWrap w:val="0"/>
            <w:vAlign w:val="center"/>
          </w:tcPr>
          <w:p w14:paraId="7ECDD196">
            <w:pPr>
              <w:keepNext w:val="0"/>
              <w:keepLines w:val="0"/>
              <w:pageBreakBefore w:val="0"/>
              <w:widowControl w:val="0"/>
              <w:kinsoku/>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977" w:type="pct"/>
            <w:noWrap w:val="0"/>
            <w:vAlign w:val="center"/>
          </w:tcPr>
          <w:p w14:paraId="421EF0FB">
            <w:pPr>
              <w:keepNext w:val="0"/>
              <w:keepLines w:val="0"/>
              <w:pageBreakBefore w:val="0"/>
              <w:widowControl w:val="0"/>
              <w:kinsoku/>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358" w:type="pct"/>
            <w:noWrap w:val="0"/>
            <w:vAlign w:val="center"/>
          </w:tcPr>
          <w:p w14:paraId="28663772">
            <w:pPr>
              <w:keepNext w:val="0"/>
              <w:keepLines w:val="0"/>
              <w:pageBreakBefore w:val="0"/>
              <w:widowControl w:val="0"/>
              <w:kinsoku/>
              <w:overflowPunct/>
              <w:topLinePunct w:val="0"/>
              <w:bidi w:val="0"/>
              <w:adjustRightInd/>
              <w:snapToGrid w:val="0"/>
              <w:spacing w:line="240" w:lineRule="auto"/>
              <w:jc w:val="center"/>
              <w:textAlignment w:val="auto"/>
              <w:rPr>
                <w:rFonts w:hint="eastAsia" w:ascii="宋体" w:hAnsi="宋体" w:eastAsia="宋体" w:cs="宋体"/>
                <w:bCs/>
                <w:color w:val="auto"/>
                <w:sz w:val="21"/>
                <w:szCs w:val="21"/>
                <w:highlight w:val="none"/>
              </w:rPr>
            </w:pPr>
          </w:p>
        </w:tc>
        <w:tc>
          <w:tcPr>
            <w:tcW w:w="1058" w:type="pct"/>
            <w:noWrap w:val="0"/>
            <w:vAlign w:val="center"/>
          </w:tcPr>
          <w:p w14:paraId="72F88042">
            <w:pPr>
              <w:keepNext w:val="0"/>
              <w:keepLines w:val="0"/>
              <w:pageBreakBefore w:val="0"/>
              <w:widowControl w:val="0"/>
              <w:kinsoku/>
              <w:overflowPunct/>
              <w:topLinePunct w:val="0"/>
              <w:bidi w:val="0"/>
              <w:adjustRightInd/>
              <w:spacing w:line="240" w:lineRule="auto"/>
              <w:jc w:val="center"/>
              <w:textAlignment w:val="auto"/>
              <w:rPr>
                <w:rFonts w:hint="eastAsia" w:ascii="宋体" w:hAnsi="宋体" w:eastAsia="宋体" w:cs="宋体"/>
                <w:bCs/>
                <w:color w:val="auto"/>
                <w:sz w:val="21"/>
                <w:szCs w:val="21"/>
                <w:highlight w:val="none"/>
                <w:lang w:val="en-US" w:eastAsia="zh-CN"/>
              </w:rPr>
            </w:pPr>
          </w:p>
        </w:tc>
      </w:tr>
      <w:tr w14:paraId="5749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606" w:type="pct"/>
            <w:noWrap w:val="0"/>
            <w:vAlign w:val="center"/>
          </w:tcPr>
          <w:p w14:paraId="571BA07C">
            <w:pPr>
              <w:keepNext w:val="0"/>
              <w:keepLines w:val="0"/>
              <w:pageBreakBefore w:val="0"/>
              <w:widowControl w:val="0"/>
              <w:kinsoku/>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977" w:type="pct"/>
            <w:noWrap w:val="0"/>
            <w:vAlign w:val="center"/>
          </w:tcPr>
          <w:p w14:paraId="260E73C3">
            <w:pPr>
              <w:keepNext w:val="0"/>
              <w:keepLines w:val="0"/>
              <w:pageBreakBefore w:val="0"/>
              <w:widowControl w:val="0"/>
              <w:kinsoku/>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358" w:type="pct"/>
            <w:noWrap w:val="0"/>
            <w:vAlign w:val="center"/>
          </w:tcPr>
          <w:p w14:paraId="3453B256">
            <w:pPr>
              <w:keepNext w:val="0"/>
              <w:keepLines w:val="0"/>
              <w:pageBreakBefore w:val="0"/>
              <w:widowControl w:val="0"/>
              <w:kinsoku/>
              <w:overflowPunct/>
              <w:topLinePunct w:val="0"/>
              <w:bidi w:val="0"/>
              <w:adjustRightInd/>
              <w:snapToGrid w:val="0"/>
              <w:spacing w:line="240" w:lineRule="auto"/>
              <w:jc w:val="center"/>
              <w:textAlignment w:val="auto"/>
              <w:rPr>
                <w:rFonts w:hint="eastAsia" w:ascii="宋体" w:hAnsi="宋体" w:eastAsia="宋体" w:cs="宋体"/>
                <w:bCs/>
                <w:color w:val="auto"/>
                <w:sz w:val="21"/>
                <w:szCs w:val="21"/>
                <w:highlight w:val="none"/>
              </w:rPr>
            </w:pPr>
          </w:p>
        </w:tc>
        <w:tc>
          <w:tcPr>
            <w:tcW w:w="1058" w:type="pct"/>
            <w:noWrap w:val="0"/>
            <w:vAlign w:val="center"/>
          </w:tcPr>
          <w:p w14:paraId="3921490D">
            <w:pPr>
              <w:keepNext w:val="0"/>
              <w:keepLines w:val="0"/>
              <w:pageBreakBefore w:val="0"/>
              <w:widowControl w:val="0"/>
              <w:kinsoku/>
              <w:overflowPunct/>
              <w:topLinePunct w:val="0"/>
              <w:bidi w:val="0"/>
              <w:adjustRightInd/>
              <w:spacing w:line="240" w:lineRule="auto"/>
              <w:jc w:val="center"/>
              <w:textAlignment w:val="auto"/>
              <w:rPr>
                <w:rFonts w:hint="eastAsia" w:ascii="宋体" w:hAnsi="宋体" w:eastAsia="宋体" w:cs="宋体"/>
                <w:bCs/>
                <w:color w:val="auto"/>
                <w:sz w:val="21"/>
                <w:szCs w:val="21"/>
                <w:highlight w:val="none"/>
                <w:lang w:val="en-US" w:eastAsia="zh-CN"/>
              </w:rPr>
            </w:pPr>
          </w:p>
        </w:tc>
      </w:tr>
    </w:tbl>
    <w:p w14:paraId="297255E3">
      <w:pPr>
        <w:snapToGrid w:val="0"/>
        <w:spacing w:line="40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lang w:val="en-US" w:eastAsia="zh-CN"/>
        </w:rPr>
        <w:t>以上设备的维保服务期限为</w:t>
      </w:r>
      <w:r>
        <w:rPr>
          <w:rFonts w:hint="eastAsia" w:ascii="宋体" w:hAnsi="宋体" w:cs="宋体"/>
          <w:color w:val="auto"/>
          <w:szCs w:val="21"/>
          <w:highlight w:val="none"/>
        </w:rPr>
        <w:t>合同签订之日起三年。</w:t>
      </w:r>
    </w:p>
    <w:p w14:paraId="3F477FCB">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付款方式</w:t>
      </w:r>
    </w:p>
    <w:p w14:paraId="14F446F0">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1、资金性质：</w:t>
      </w:r>
      <w:r>
        <w:rPr>
          <w:rFonts w:hint="eastAsia" w:ascii="宋体" w:hAnsi="宋体" w:cs="宋体"/>
          <w:color w:val="auto"/>
          <w:szCs w:val="21"/>
          <w:highlight w:val="none"/>
          <w:u w:val="single"/>
        </w:rPr>
        <w:t xml:space="preserve">财政性资金 </w:t>
      </w:r>
    </w:p>
    <w:p w14:paraId="2D1490B7">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2、付款方式：</w:t>
      </w:r>
      <w:r>
        <w:rPr>
          <w:rFonts w:hint="eastAsia" w:ascii="宋体" w:hAnsi="宋体" w:cs="宋体"/>
          <w:color w:val="auto"/>
          <w:szCs w:val="21"/>
          <w:highlight w:val="none"/>
          <w:u w:val="single"/>
        </w:rPr>
        <w:t>本合同全款额分为四次支付，付款前需提供对应金额发票：</w:t>
      </w:r>
    </w:p>
    <w:p w14:paraId="4B8022F3">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第一期合同款30%，合同生效后支付。</w:t>
      </w:r>
    </w:p>
    <w:p w14:paraId="09172104">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第二期合同款30%，第二年维保期开始后支付。</w:t>
      </w:r>
    </w:p>
    <w:p w14:paraId="22BA0A3A">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第三期合同款30%，第三年维保期开始后支付。</w:t>
      </w:r>
    </w:p>
    <w:p w14:paraId="508AFAC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第四期合同款10%，维保期满后支付。 </w:t>
      </w:r>
    </w:p>
    <w:p w14:paraId="3F4CB997">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第六条　本合同执行中相关的一切税费均由乙方负担。</w:t>
      </w:r>
    </w:p>
    <w:p w14:paraId="54035461">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违约责任</w:t>
      </w:r>
    </w:p>
    <w:p w14:paraId="463DFED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1、乙方应及时完成维修服务，单次故障维修时间超过 15个工作日的，甲方有权解除合同</w:t>
      </w:r>
      <w:r>
        <w:rPr>
          <w:rFonts w:hint="eastAsia" w:ascii="宋体" w:hAnsi="宋体" w:cs="宋体"/>
          <w:color w:val="auto"/>
          <w:szCs w:val="21"/>
          <w:highlight w:val="none"/>
          <w:lang w:eastAsia="zh-CN"/>
        </w:rPr>
        <w:t>。</w:t>
      </w:r>
    </w:p>
    <w:p w14:paraId="6924292C">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2、乙方提供的服务如侵犯了第三方合法权益而引发的任何纠纷或诉讼，均由乙方负责交涉并承担全部责任。</w:t>
      </w:r>
    </w:p>
    <w:p w14:paraId="517AC4BF">
      <w:pPr>
        <w:snapToGrid w:val="0"/>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乙方未达合同承诺的开机率的，按逾期交付处罚，每逾期1天罚款1000元/天，由甲方从待付维保费中扣除，总罚款金额不超过合同金额的5%。</w:t>
      </w:r>
    </w:p>
    <w:p w14:paraId="38E5753A">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不可抗力事件处理</w:t>
      </w:r>
    </w:p>
    <w:p w14:paraId="2BEB4DD1">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02FDEB8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14884D15">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3、不可抗力事件延续120天以上，双方应通过友好协商，确定是否继续履行合同。</w:t>
      </w:r>
    </w:p>
    <w:p w14:paraId="59FBC988">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合同争议解决</w:t>
      </w:r>
    </w:p>
    <w:p w14:paraId="59131BB0">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1、因履行本合同引起的或与本合同有关的争议，甲乙双方应首先通过友好协商解决，如果协商不能解决，可向</w:t>
      </w:r>
      <w:r>
        <w:rPr>
          <w:rFonts w:hint="eastAsia" w:ascii="宋体" w:hAnsi="宋体" w:cs="宋体"/>
          <w:color w:val="auto"/>
          <w:szCs w:val="21"/>
          <w:highlight w:val="none"/>
          <w:lang w:val="en-US" w:eastAsia="zh-CN"/>
        </w:rPr>
        <w:t>甲方所在地</w:t>
      </w:r>
      <w:r>
        <w:rPr>
          <w:rFonts w:hint="eastAsia" w:ascii="宋体" w:hAnsi="宋体" w:cs="宋体"/>
          <w:color w:val="auto"/>
          <w:szCs w:val="21"/>
          <w:highlight w:val="none"/>
        </w:rPr>
        <w:t>人民法院提起诉讼。</w:t>
      </w:r>
    </w:p>
    <w:p w14:paraId="080E1CB1">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2、诉讼期间，本合同继续履行。</w:t>
      </w:r>
    </w:p>
    <w:p w14:paraId="45B76E4A">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第十条　合同生效及其它</w:t>
      </w:r>
    </w:p>
    <w:p w14:paraId="46BD6D6D">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1、合同经双方法定代表人或授权代表签字并加盖单位公章后生效。</w:t>
      </w:r>
    </w:p>
    <w:p w14:paraId="45A002D6">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2、合同执行中涉及采购资金和采购内容修改或补充的，须签书面补充协议，方可作为主合同不可分割的一部分。</w:t>
      </w:r>
    </w:p>
    <w:p w14:paraId="359FAD87">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3、本合同未尽事宜，遵照《民法典》有关条文执行。</w:t>
      </w:r>
    </w:p>
    <w:p w14:paraId="26FEFD30">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条　合同的变更、终止与转让</w:t>
      </w:r>
    </w:p>
    <w:p w14:paraId="48BF8395">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1、除《中华人民共和国政府采购法》第50条规定的情形外，本合同一经签订，甲乙双方不得擅自变更、中止或终止。</w:t>
      </w:r>
    </w:p>
    <w:p w14:paraId="216421E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06C7CC62">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签订本合同依据</w:t>
      </w:r>
    </w:p>
    <w:p w14:paraId="0714DA7A">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1、政府采购招标文件；</w:t>
      </w:r>
    </w:p>
    <w:p w14:paraId="37D22518">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2、乙方提供的采购投标(或应答)文件；</w:t>
      </w:r>
    </w:p>
    <w:p w14:paraId="4BA91AE4">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3、投标声明书；</w:t>
      </w:r>
    </w:p>
    <w:p w14:paraId="4C746BEA">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4、中标通知书。</w:t>
      </w:r>
    </w:p>
    <w:p w14:paraId="257C84B2">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三</w:t>
      </w:r>
      <w:r>
        <w:rPr>
          <w:rFonts w:hint="eastAsia" w:ascii="宋体" w:hAnsi="宋体" w:cs="宋体"/>
          <w:b/>
          <w:color w:val="auto"/>
          <w:szCs w:val="21"/>
          <w:highlight w:val="none"/>
        </w:rPr>
        <w:t>条　本合同一式</w:t>
      </w: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份，具有同等法律效力，财政部门（政府采购监管部门）、采购代理机构各一份，</w:t>
      </w:r>
      <w:r>
        <w:rPr>
          <w:rFonts w:hint="eastAsia" w:ascii="宋体" w:hAnsi="宋体" w:cs="宋体"/>
          <w:b/>
          <w:color w:val="auto"/>
          <w:szCs w:val="21"/>
          <w:highlight w:val="none"/>
          <w:lang w:val="en-US" w:eastAsia="zh-CN"/>
        </w:rPr>
        <w:t>甲方执五份，乙方执两份。</w:t>
      </w:r>
      <w:r>
        <w:rPr>
          <w:rFonts w:hint="eastAsia" w:ascii="宋体" w:hAnsi="宋体" w:cs="宋体"/>
          <w:b/>
          <w:color w:val="auto"/>
          <w:szCs w:val="21"/>
          <w:highlight w:val="none"/>
        </w:rPr>
        <w:t>（可根据需要另增加）。</w:t>
      </w:r>
    </w:p>
    <w:p w14:paraId="032E808D">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本合同甲乙双方签字盖章后生效，自签订之日起两个工作日内，采购人或采购代理机构应当将合同副本报同级财政部门备案。</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14:paraId="0F5B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680" w:type="dxa"/>
            <w:vAlign w:val="center"/>
          </w:tcPr>
          <w:p w14:paraId="1A2FD6A3">
            <w:pPr>
              <w:snapToGrid w:val="0"/>
              <w:spacing w:before="120" w:line="360" w:lineRule="auto"/>
              <w:rPr>
                <w:rFonts w:ascii="宋体" w:hAnsi="宋体" w:cs="宋体"/>
                <w:color w:val="auto"/>
                <w:szCs w:val="21"/>
                <w:highlight w:val="none"/>
              </w:rPr>
            </w:pPr>
            <w:r>
              <w:rPr>
                <w:rFonts w:hint="eastAsia" w:ascii="宋体" w:hAnsi="宋体" w:cs="宋体"/>
                <w:color w:val="auto"/>
                <w:szCs w:val="21"/>
                <w:highlight w:val="none"/>
              </w:rPr>
              <w:t xml:space="preserve">甲方（章）           </w:t>
            </w:r>
          </w:p>
          <w:p w14:paraId="4488B129">
            <w:pPr>
              <w:snapToGrid w:val="0"/>
              <w:spacing w:before="120" w:line="360" w:lineRule="auto"/>
              <w:ind w:firstLine="945" w:firstLineChars="450"/>
              <w:jc w:val="right"/>
              <w:rPr>
                <w:rFonts w:ascii="宋体" w:hAnsi="宋体" w:cs="宋体"/>
                <w:color w:val="auto"/>
                <w:szCs w:val="21"/>
                <w:highlight w:val="none"/>
              </w:rPr>
            </w:pPr>
          </w:p>
        </w:tc>
        <w:tc>
          <w:tcPr>
            <w:tcW w:w="4680" w:type="dxa"/>
            <w:vAlign w:val="center"/>
          </w:tcPr>
          <w:p w14:paraId="2D761FCC">
            <w:pPr>
              <w:snapToGrid w:val="0"/>
              <w:spacing w:before="120"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270B05D5">
            <w:pPr>
              <w:snapToGrid w:val="0"/>
              <w:spacing w:before="120" w:line="360" w:lineRule="auto"/>
              <w:jc w:val="right"/>
              <w:rPr>
                <w:rFonts w:ascii="宋体" w:hAnsi="宋体" w:cs="宋体"/>
                <w:color w:val="auto"/>
                <w:szCs w:val="21"/>
                <w:highlight w:val="none"/>
              </w:rPr>
            </w:pPr>
          </w:p>
        </w:tc>
      </w:tr>
      <w:tr w14:paraId="0904B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680" w:type="dxa"/>
            <w:vAlign w:val="center"/>
          </w:tcPr>
          <w:p w14:paraId="656B6D81">
            <w:pPr>
              <w:snapToGrid w:val="0"/>
              <w:spacing w:before="120" w:line="360" w:lineRule="auto"/>
              <w:rPr>
                <w:rFonts w:ascii="宋体" w:hAnsi="宋体" w:cs="宋体"/>
                <w:color w:val="auto"/>
                <w:szCs w:val="21"/>
                <w:highlight w:val="none"/>
              </w:rPr>
            </w:pPr>
            <w:r>
              <w:rPr>
                <w:rFonts w:hint="eastAsia" w:ascii="宋体" w:hAnsi="宋体" w:cs="宋体"/>
                <w:color w:val="auto"/>
                <w:szCs w:val="21"/>
                <w:highlight w:val="none"/>
              </w:rPr>
              <w:t>单位地址：</w:t>
            </w:r>
          </w:p>
        </w:tc>
        <w:tc>
          <w:tcPr>
            <w:tcW w:w="4680" w:type="dxa"/>
            <w:vAlign w:val="center"/>
          </w:tcPr>
          <w:p w14:paraId="0ED1D1F7">
            <w:pPr>
              <w:snapToGrid w:val="0"/>
              <w:spacing w:before="120" w:line="360" w:lineRule="auto"/>
              <w:rPr>
                <w:rFonts w:ascii="宋体" w:hAnsi="宋体" w:cs="宋体"/>
                <w:color w:val="auto"/>
                <w:szCs w:val="21"/>
                <w:highlight w:val="none"/>
              </w:rPr>
            </w:pPr>
            <w:r>
              <w:rPr>
                <w:rFonts w:hint="eastAsia" w:ascii="宋体" w:hAnsi="宋体" w:cs="宋体"/>
                <w:color w:val="auto"/>
                <w:szCs w:val="21"/>
                <w:highlight w:val="none"/>
              </w:rPr>
              <w:t>单位地址：</w:t>
            </w:r>
          </w:p>
        </w:tc>
      </w:tr>
      <w:tr w14:paraId="29D7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680" w:type="dxa"/>
            <w:vAlign w:val="center"/>
          </w:tcPr>
          <w:p w14:paraId="4FEA9128">
            <w:pPr>
              <w:snapToGrid w:val="0"/>
              <w:spacing w:before="120"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680" w:type="dxa"/>
            <w:vAlign w:val="center"/>
          </w:tcPr>
          <w:p w14:paraId="5386910A">
            <w:pPr>
              <w:snapToGrid w:val="0"/>
              <w:spacing w:before="120"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13D2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680" w:type="dxa"/>
            <w:vAlign w:val="center"/>
          </w:tcPr>
          <w:p w14:paraId="76DAB0D2">
            <w:pPr>
              <w:snapToGrid w:val="0"/>
              <w:spacing w:before="120"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680" w:type="dxa"/>
            <w:vAlign w:val="center"/>
          </w:tcPr>
          <w:p w14:paraId="0B927ECD">
            <w:pPr>
              <w:snapToGrid w:val="0"/>
              <w:spacing w:before="120"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0450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680" w:type="dxa"/>
            <w:vAlign w:val="center"/>
          </w:tcPr>
          <w:p w14:paraId="6985A9D4">
            <w:pPr>
              <w:snapToGrid w:val="0"/>
              <w:spacing w:before="120"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680" w:type="dxa"/>
            <w:vAlign w:val="center"/>
          </w:tcPr>
          <w:p w14:paraId="18CD5AB3">
            <w:pPr>
              <w:snapToGrid w:val="0"/>
              <w:spacing w:before="120"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3AFF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680" w:type="dxa"/>
            <w:vAlign w:val="center"/>
          </w:tcPr>
          <w:p w14:paraId="2A15CF86">
            <w:pPr>
              <w:snapToGrid w:val="0"/>
              <w:spacing w:before="120" w:line="360" w:lineRule="auto"/>
              <w:rPr>
                <w:rFonts w:ascii="宋体" w:hAnsi="宋体" w:cs="宋体"/>
                <w:color w:val="auto"/>
                <w:szCs w:val="21"/>
                <w:highlight w:val="none"/>
              </w:rPr>
            </w:pPr>
            <w:r>
              <w:rPr>
                <w:rFonts w:hint="eastAsia" w:ascii="宋体" w:hAnsi="宋体" w:cs="宋体"/>
                <w:color w:val="auto"/>
                <w:szCs w:val="21"/>
                <w:highlight w:val="none"/>
              </w:rPr>
              <w:t>开户银行：</w:t>
            </w:r>
          </w:p>
        </w:tc>
        <w:tc>
          <w:tcPr>
            <w:tcW w:w="4680" w:type="dxa"/>
            <w:vAlign w:val="center"/>
          </w:tcPr>
          <w:p w14:paraId="6E08D6BE">
            <w:pPr>
              <w:snapToGrid w:val="0"/>
              <w:spacing w:before="120" w:line="360" w:lineRule="auto"/>
              <w:rPr>
                <w:rFonts w:ascii="宋体" w:hAnsi="宋体" w:cs="宋体"/>
                <w:color w:val="auto"/>
                <w:szCs w:val="21"/>
                <w:highlight w:val="none"/>
              </w:rPr>
            </w:pPr>
            <w:r>
              <w:rPr>
                <w:rFonts w:hint="eastAsia" w:ascii="宋体" w:hAnsi="宋体" w:cs="宋体"/>
                <w:color w:val="auto"/>
                <w:szCs w:val="21"/>
                <w:highlight w:val="none"/>
              </w:rPr>
              <w:t>开户银行：</w:t>
            </w:r>
          </w:p>
        </w:tc>
      </w:tr>
      <w:tr w14:paraId="6FF9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680" w:type="dxa"/>
            <w:vAlign w:val="center"/>
          </w:tcPr>
          <w:p w14:paraId="351BF3A6">
            <w:pPr>
              <w:snapToGrid w:val="0"/>
              <w:spacing w:before="120"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680" w:type="dxa"/>
            <w:vAlign w:val="center"/>
          </w:tcPr>
          <w:p w14:paraId="3AF3F344">
            <w:pPr>
              <w:snapToGrid w:val="0"/>
              <w:spacing w:before="120" w:line="360" w:lineRule="auto"/>
              <w:rPr>
                <w:rFonts w:ascii="宋体" w:hAnsi="宋体" w:cs="宋体"/>
                <w:color w:val="auto"/>
                <w:szCs w:val="21"/>
                <w:highlight w:val="none"/>
              </w:rPr>
            </w:pPr>
            <w:r>
              <w:rPr>
                <w:rFonts w:hint="eastAsia" w:ascii="宋体" w:hAnsi="宋体" w:cs="宋体"/>
                <w:color w:val="auto"/>
                <w:szCs w:val="21"/>
                <w:highlight w:val="none"/>
              </w:rPr>
              <w:t>账号：</w:t>
            </w:r>
          </w:p>
        </w:tc>
      </w:tr>
    </w:tbl>
    <w:p w14:paraId="6FDA5F88">
      <w:pPr>
        <w:shd w:val="clear" w:color="auto" w:fill="FFFFFF" w:themeFill="background1"/>
        <w:spacing w:line="360" w:lineRule="auto"/>
        <w:ind w:right="800" w:firstLine="6090" w:firstLineChars="2900"/>
        <w:rPr>
          <w:rFonts w:ascii="宋体" w:hAnsi="宋体" w:cs="宋体"/>
          <w:bCs/>
          <w:color w:val="auto"/>
          <w:szCs w:val="21"/>
          <w:highlight w:val="none"/>
        </w:rPr>
      </w:pPr>
    </w:p>
    <w:p w14:paraId="2F64EE0E">
      <w:pPr>
        <w:shd w:val="clear" w:color="auto" w:fill="FFFFFF" w:themeFill="background1"/>
        <w:spacing w:line="360" w:lineRule="auto"/>
        <w:ind w:right="800" w:firstLine="6090" w:firstLineChars="2900"/>
        <w:rPr>
          <w:rFonts w:ascii="宋体" w:hAnsi="宋体" w:cs="宋体"/>
          <w:bCs/>
          <w:color w:val="auto"/>
          <w:szCs w:val="21"/>
          <w:highlight w:val="none"/>
        </w:rPr>
      </w:pPr>
    </w:p>
    <w:p w14:paraId="5319A8D1">
      <w:pPr>
        <w:shd w:val="clear" w:color="auto" w:fill="FFFFFF" w:themeFill="background1"/>
        <w:spacing w:line="360" w:lineRule="auto"/>
        <w:ind w:right="800" w:firstLine="6090" w:firstLineChars="2900"/>
        <w:rPr>
          <w:rFonts w:ascii="宋体" w:hAnsi="宋体" w:cs="宋体"/>
          <w:bCs/>
          <w:color w:val="auto"/>
          <w:szCs w:val="21"/>
          <w:highlight w:val="none"/>
        </w:rPr>
      </w:pPr>
    </w:p>
    <w:p w14:paraId="59A65291">
      <w:pPr>
        <w:shd w:val="clear" w:color="auto" w:fill="FFFFFF" w:themeFill="background1"/>
        <w:spacing w:line="360" w:lineRule="auto"/>
        <w:ind w:right="800" w:firstLine="6090" w:firstLineChars="2900"/>
        <w:rPr>
          <w:rFonts w:ascii="宋体" w:hAnsi="宋体" w:cs="宋体"/>
          <w:bCs/>
          <w:color w:val="auto"/>
          <w:szCs w:val="21"/>
          <w:highlight w:val="none"/>
        </w:rPr>
      </w:pPr>
    </w:p>
    <w:p w14:paraId="0648A015">
      <w:pPr>
        <w:shd w:val="clear" w:color="auto" w:fill="FFFFFF" w:themeFill="background1"/>
        <w:spacing w:line="360" w:lineRule="auto"/>
        <w:ind w:right="800" w:firstLine="6090" w:firstLineChars="2900"/>
        <w:rPr>
          <w:rFonts w:ascii="宋体" w:hAnsi="宋体" w:cs="宋体"/>
          <w:bCs/>
          <w:color w:val="auto"/>
          <w:szCs w:val="21"/>
          <w:highlight w:val="none"/>
        </w:rPr>
      </w:pPr>
    </w:p>
    <w:p w14:paraId="4457BA5C">
      <w:pPr>
        <w:shd w:val="clear" w:color="auto" w:fill="FFFFFF" w:themeFill="background1"/>
        <w:spacing w:line="360" w:lineRule="auto"/>
        <w:ind w:right="800" w:firstLine="6090" w:firstLineChars="2900"/>
        <w:rPr>
          <w:rFonts w:ascii="宋体" w:hAnsi="宋体" w:cs="宋体"/>
          <w:bCs/>
          <w:color w:val="auto"/>
          <w:szCs w:val="21"/>
          <w:highlight w:val="none"/>
        </w:rPr>
      </w:pPr>
    </w:p>
    <w:p w14:paraId="43B9B224">
      <w:pPr>
        <w:shd w:val="clear" w:color="auto" w:fill="FFFFFF" w:themeFill="background1"/>
        <w:spacing w:line="300" w:lineRule="auto"/>
        <w:jc w:val="center"/>
        <w:rPr>
          <w:rFonts w:ascii="黑体" w:hAnsi="宋体" w:eastAsia="黑体"/>
          <w:b/>
          <w:color w:val="auto"/>
          <w:sz w:val="44"/>
          <w:szCs w:val="44"/>
          <w:highlight w:val="none"/>
        </w:rPr>
      </w:pPr>
    </w:p>
    <w:p w14:paraId="5FF042BB">
      <w:pPr>
        <w:shd w:val="clear" w:color="auto" w:fill="FFFFFF" w:themeFill="background1"/>
        <w:rPr>
          <w:rFonts w:ascii="宋体" w:hAnsi="宋体" w:cs="宋体"/>
          <w:color w:val="auto"/>
          <w:szCs w:val="21"/>
          <w:highlight w:val="none"/>
        </w:rPr>
      </w:pPr>
      <w:r>
        <w:rPr>
          <w:rFonts w:ascii="宋体" w:hAnsi="宋体" w:cs="宋体"/>
          <w:color w:val="auto"/>
          <w:szCs w:val="21"/>
          <w:highlight w:val="none"/>
        </w:rPr>
        <w:br w:type="page"/>
      </w:r>
    </w:p>
    <w:p w14:paraId="26CF4515">
      <w:pPr>
        <w:pStyle w:val="15"/>
        <w:shd w:val="clear" w:color="auto" w:fill="FFFFFF" w:themeFill="background1"/>
        <w:rPr>
          <w:color w:val="auto"/>
          <w:highlight w:val="none"/>
        </w:rPr>
      </w:pPr>
    </w:p>
    <w:p w14:paraId="799AE55A">
      <w:pPr>
        <w:pStyle w:val="13"/>
        <w:shd w:val="clear" w:color="auto" w:fill="FFFFFF" w:themeFill="background1"/>
        <w:tabs>
          <w:tab w:val="left" w:pos="2472"/>
        </w:tabs>
        <w:spacing w:line="460" w:lineRule="exact"/>
        <w:jc w:val="center"/>
        <w:rPr>
          <w:rFonts w:hAnsi="宋体" w:cs="宋体"/>
          <w:b/>
          <w:color w:val="auto"/>
          <w:sz w:val="36"/>
          <w:highlight w:val="none"/>
        </w:rPr>
      </w:pPr>
    </w:p>
    <w:p w14:paraId="22575051">
      <w:pPr>
        <w:pStyle w:val="13"/>
        <w:shd w:val="clear" w:color="auto" w:fill="FFFFFF" w:themeFill="background1"/>
        <w:tabs>
          <w:tab w:val="left" w:pos="2472"/>
        </w:tabs>
        <w:spacing w:line="460" w:lineRule="exact"/>
        <w:jc w:val="center"/>
        <w:rPr>
          <w:rFonts w:hAnsi="宋体" w:cs="宋体"/>
          <w:b/>
          <w:color w:val="auto"/>
          <w:sz w:val="36"/>
          <w:highlight w:val="none"/>
        </w:rPr>
      </w:pPr>
    </w:p>
    <w:p w14:paraId="60DFB677">
      <w:pPr>
        <w:pStyle w:val="13"/>
        <w:shd w:val="clear" w:color="auto" w:fill="FFFFFF" w:themeFill="background1"/>
        <w:tabs>
          <w:tab w:val="left" w:pos="2472"/>
        </w:tabs>
        <w:spacing w:line="460" w:lineRule="exact"/>
        <w:jc w:val="center"/>
        <w:rPr>
          <w:rFonts w:hAnsi="宋体" w:cs="宋体"/>
          <w:b/>
          <w:color w:val="auto"/>
          <w:sz w:val="36"/>
          <w:highlight w:val="none"/>
        </w:rPr>
      </w:pPr>
    </w:p>
    <w:p w14:paraId="39F28596">
      <w:pPr>
        <w:pStyle w:val="13"/>
        <w:shd w:val="clear" w:color="auto" w:fill="FFFFFF" w:themeFill="background1"/>
        <w:tabs>
          <w:tab w:val="left" w:pos="2472"/>
        </w:tabs>
        <w:spacing w:line="460" w:lineRule="exact"/>
        <w:jc w:val="center"/>
        <w:rPr>
          <w:rFonts w:hAnsi="宋体" w:cs="宋体"/>
          <w:b/>
          <w:color w:val="auto"/>
          <w:sz w:val="36"/>
          <w:highlight w:val="none"/>
        </w:rPr>
      </w:pPr>
    </w:p>
    <w:p w14:paraId="1A298076">
      <w:pPr>
        <w:pStyle w:val="13"/>
        <w:shd w:val="clear" w:color="auto" w:fill="FFFFFF" w:themeFill="background1"/>
        <w:tabs>
          <w:tab w:val="left" w:pos="2472"/>
        </w:tabs>
        <w:spacing w:line="460" w:lineRule="exact"/>
        <w:jc w:val="center"/>
        <w:rPr>
          <w:rFonts w:hAnsi="宋体" w:cs="宋体"/>
          <w:b/>
          <w:color w:val="auto"/>
          <w:sz w:val="36"/>
          <w:highlight w:val="none"/>
        </w:rPr>
      </w:pPr>
    </w:p>
    <w:p w14:paraId="0E7F28B7">
      <w:pPr>
        <w:pStyle w:val="13"/>
        <w:shd w:val="clear" w:color="auto" w:fill="FFFFFF" w:themeFill="background1"/>
        <w:tabs>
          <w:tab w:val="left" w:pos="2472"/>
        </w:tabs>
        <w:spacing w:line="460" w:lineRule="exact"/>
        <w:jc w:val="center"/>
        <w:rPr>
          <w:rFonts w:hAnsi="宋体" w:cs="宋体"/>
          <w:b/>
          <w:color w:val="auto"/>
          <w:sz w:val="36"/>
          <w:highlight w:val="none"/>
        </w:rPr>
      </w:pPr>
    </w:p>
    <w:p w14:paraId="627543C9">
      <w:pPr>
        <w:pStyle w:val="13"/>
        <w:shd w:val="clear" w:color="auto" w:fill="FFFFFF" w:themeFill="background1"/>
        <w:tabs>
          <w:tab w:val="left" w:pos="2472"/>
        </w:tabs>
        <w:spacing w:line="460" w:lineRule="exact"/>
        <w:jc w:val="center"/>
        <w:rPr>
          <w:rFonts w:hAnsi="宋体" w:cs="宋体"/>
          <w:b/>
          <w:color w:val="auto"/>
          <w:sz w:val="36"/>
          <w:highlight w:val="none"/>
        </w:rPr>
      </w:pPr>
    </w:p>
    <w:p w14:paraId="0C73D4CB">
      <w:pPr>
        <w:pStyle w:val="13"/>
        <w:shd w:val="clear" w:color="auto" w:fill="FFFFFF" w:themeFill="background1"/>
        <w:tabs>
          <w:tab w:val="left" w:pos="2472"/>
        </w:tabs>
        <w:spacing w:line="460" w:lineRule="exact"/>
        <w:jc w:val="center"/>
        <w:rPr>
          <w:rFonts w:hAnsi="宋体" w:cs="宋体"/>
          <w:b/>
          <w:color w:val="auto"/>
          <w:sz w:val="36"/>
          <w:highlight w:val="none"/>
        </w:rPr>
      </w:pPr>
    </w:p>
    <w:p w14:paraId="25007F48">
      <w:pPr>
        <w:pStyle w:val="13"/>
        <w:shd w:val="clear" w:color="auto" w:fill="FFFFFF" w:themeFill="background1"/>
        <w:tabs>
          <w:tab w:val="left" w:pos="2472"/>
        </w:tabs>
        <w:spacing w:line="460" w:lineRule="exact"/>
        <w:jc w:val="center"/>
        <w:rPr>
          <w:rFonts w:hAnsi="宋体" w:cs="宋体"/>
          <w:b/>
          <w:color w:val="auto"/>
          <w:sz w:val="36"/>
          <w:highlight w:val="none"/>
        </w:rPr>
      </w:pPr>
    </w:p>
    <w:p w14:paraId="34B12ED3">
      <w:pPr>
        <w:pStyle w:val="13"/>
        <w:shd w:val="clear" w:color="auto" w:fill="FFFFFF" w:themeFill="background1"/>
        <w:tabs>
          <w:tab w:val="left" w:pos="2472"/>
        </w:tabs>
        <w:spacing w:line="460" w:lineRule="exact"/>
        <w:jc w:val="center"/>
        <w:rPr>
          <w:rFonts w:hAnsi="宋体" w:cs="宋体"/>
          <w:b/>
          <w:color w:val="auto"/>
          <w:sz w:val="36"/>
          <w:highlight w:val="none"/>
        </w:rPr>
      </w:pPr>
    </w:p>
    <w:p w14:paraId="570A3C6A">
      <w:pPr>
        <w:pStyle w:val="13"/>
        <w:shd w:val="clear" w:color="auto" w:fill="FFFFFF" w:themeFill="background1"/>
        <w:tabs>
          <w:tab w:val="left" w:pos="2472"/>
        </w:tabs>
        <w:spacing w:line="460" w:lineRule="exact"/>
        <w:jc w:val="center"/>
        <w:rPr>
          <w:rFonts w:hAnsi="宋体" w:cs="宋体"/>
          <w:b/>
          <w:color w:val="auto"/>
          <w:sz w:val="36"/>
          <w:highlight w:val="none"/>
        </w:rPr>
      </w:pPr>
    </w:p>
    <w:p w14:paraId="7056C37E">
      <w:pPr>
        <w:pStyle w:val="13"/>
        <w:shd w:val="clear" w:color="auto" w:fill="FFFFFF" w:themeFill="background1"/>
        <w:tabs>
          <w:tab w:val="left" w:pos="2472"/>
        </w:tabs>
        <w:spacing w:line="460" w:lineRule="exact"/>
        <w:jc w:val="center"/>
        <w:rPr>
          <w:rFonts w:hAnsi="宋体" w:cs="宋体"/>
          <w:b/>
          <w:color w:val="auto"/>
          <w:sz w:val="36"/>
          <w:highlight w:val="none"/>
        </w:rPr>
      </w:pPr>
    </w:p>
    <w:p w14:paraId="6BAA59C5">
      <w:pPr>
        <w:pStyle w:val="13"/>
        <w:shd w:val="clear" w:color="auto" w:fill="FFFFFF" w:themeFill="background1"/>
        <w:tabs>
          <w:tab w:val="left" w:pos="2472"/>
        </w:tabs>
        <w:spacing w:line="460" w:lineRule="exact"/>
        <w:jc w:val="center"/>
        <w:outlineLvl w:val="0"/>
        <w:rPr>
          <w:rFonts w:hAnsi="宋体" w:cs="宋体"/>
          <w:b/>
          <w:color w:val="auto"/>
          <w:sz w:val="36"/>
          <w:highlight w:val="none"/>
        </w:rPr>
      </w:pPr>
      <w:bookmarkStart w:id="344" w:name="_Toc19106"/>
      <w:bookmarkStart w:id="345" w:name="_Toc32149"/>
      <w:bookmarkStart w:id="346" w:name="_Toc20832"/>
      <w:bookmarkStart w:id="347" w:name="_Toc2517"/>
      <w:bookmarkStart w:id="348" w:name="_Toc9123"/>
      <w:bookmarkStart w:id="349" w:name="_Toc11043"/>
      <w:bookmarkStart w:id="350" w:name="_Toc20296"/>
      <w:bookmarkStart w:id="351" w:name="_Toc26884"/>
      <w:bookmarkStart w:id="352" w:name="_Toc24704"/>
      <w:bookmarkStart w:id="353" w:name="_Toc19350"/>
      <w:bookmarkStart w:id="354" w:name="_Toc2377"/>
      <w:bookmarkStart w:id="355" w:name="_Toc26390"/>
      <w:bookmarkStart w:id="356" w:name="_Toc5736"/>
      <w:r>
        <w:rPr>
          <w:rFonts w:hint="eastAsia" w:hAnsi="宋体" w:cs="宋体"/>
          <w:b/>
          <w:color w:val="auto"/>
          <w:sz w:val="36"/>
          <w:highlight w:val="none"/>
        </w:rPr>
        <w:t>第六章 投标文件格式</w:t>
      </w:r>
      <w:bookmarkEnd w:id="344"/>
      <w:bookmarkEnd w:id="345"/>
      <w:bookmarkEnd w:id="346"/>
      <w:bookmarkEnd w:id="347"/>
      <w:bookmarkEnd w:id="348"/>
      <w:bookmarkEnd w:id="349"/>
      <w:bookmarkEnd w:id="350"/>
      <w:bookmarkEnd w:id="351"/>
      <w:bookmarkEnd w:id="352"/>
      <w:bookmarkEnd w:id="353"/>
      <w:bookmarkEnd w:id="354"/>
      <w:bookmarkEnd w:id="355"/>
      <w:bookmarkEnd w:id="356"/>
    </w:p>
    <w:p w14:paraId="5E78E95C">
      <w:pPr>
        <w:widowControl/>
        <w:shd w:val="clear" w:color="auto" w:fill="FFFFFF" w:themeFill="background1"/>
        <w:spacing w:beforeAutospacing="1" w:line="360" w:lineRule="auto"/>
        <w:jc w:val="left"/>
        <w:rPr>
          <w:rFonts w:ascii="宋体" w:hAnsi="宋体" w:cs="宋体"/>
          <w:color w:val="auto"/>
          <w:szCs w:val="20"/>
          <w:highlight w:val="none"/>
        </w:rPr>
        <w:sectPr>
          <w:pgSz w:w="11905" w:h="16838"/>
          <w:pgMar w:top="1134" w:right="1134" w:bottom="1134" w:left="1134" w:header="850" w:footer="850" w:gutter="0"/>
          <w:cols w:space="0" w:num="1"/>
          <w:titlePg/>
          <w:docGrid w:linePitch="331" w:charSpace="0"/>
        </w:sectPr>
      </w:pPr>
    </w:p>
    <w:p w14:paraId="5B37E2A8">
      <w:pPr>
        <w:pStyle w:val="13"/>
        <w:shd w:val="clear" w:color="auto" w:fill="FFFFFF" w:themeFill="background1"/>
        <w:jc w:val="center"/>
        <w:outlineLvl w:val="1"/>
        <w:rPr>
          <w:rFonts w:hAnsi="宋体" w:cs="宋体"/>
          <w:b/>
          <w:bCs/>
          <w:color w:val="auto"/>
          <w:sz w:val="28"/>
          <w:szCs w:val="28"/>
          <w:highlight w:val="none"/>
        </w:rPr>
      </w:pPr>
      <w:bookmarkStart w:id="357" w:name="_Toc16890"/>
      <w:bookmarkStart w:id="358" w:name="_Toc32370"/>
      <w:bookmarkStart w:id="359" w:name="_Toc24486"/>
      <w:bookmarkStart w:id="360" w:name="_Toc4270"/>
      <w:bookmarkStart w:id="361" w:name="_Toc21700"/>
      <w:bookmarkStart w:id="362" w:name="_Toc7817"/>
      <w:bookmarkStart w:id="363" w:name="_Toc11854"/>
      <w:bookmarkStart w:id="364" w:name="_Toc32508"/>
      <w:bookmarkStart w:id="365" w:name="_Toc23486"/>
      <w:bookmarkStart w:id="366" w:name="_Toc20281"/>
      <w:r>
        <w:rPr>
          <w:rFonts w:hint="eastAsia" w:hAnsi="宋体" w:cs="宋体"/>
          <w:b/>
          <w:bCs/>
          <w:color w:val="auto"/>
          <w:sz w:val="28"/>
          <w:szCs w:val="28"/>
          <w:highlight w:val="none"/>
        </w:rPr>
        <w:t>第一节 资格证明文件格式</w:t>
      </w:r>
      <w:bookmarkEnd w:id="357"/>
      <w:bookmarkEnd w:id="358"/>
      <w:bookmarkEnd w:id="359"/>
      <w:bookmarkEnd w:id="360"/>
      <w:bookmarkEnd w:id="361"/>
      <w:bookmarkEnd w:id="362"/>
      <w:bookmarkEnd w:id="363"/>
      <w:bookmarkEnd w:id="364"/>
      <w:bookmarkEnd w:id="365"/>
      <w:bookmarkEnd w:id="366"/>
    </w:p>
    <w:p w14:paraId="29B6DF01">
      <w:pPr>
        <w:pStyle w:val="13"/>
        <w:shd w:val="clear" w:color="auto" w:fill="FFFFFF" w:themeFill="background1"/>
        <w:spacing w:line="360" w:lineRule="auto"/>
        <w:ind w:firstLine="420"/>
        <w:rPr>
          <w:rFonts w:hAnsi="宋体" w:cs="宋体"/>
          <w:color w:val="auto"/>
          <w:sz w:val="30"/>
          <w:highlight w:val="none"/>
        </w:rPr>
      </w:pPr>
    </w:p>
    <w:p w14:paraId="655B6782">
      <w:pPr>
        <w:pStyle w:val="8"/>
        <w:shd w:val="clear" w:color="auto" w:fill="FFFFFF" w:themeFill="background1"/>
        <w:ind w:left="0"/>
        <w:jc w:val="left"/>
        <w:rPr>
          <w:rFonts w:ascii="宋体" w:hAnsi="宋体" w:cs="宋体"/>
          <w:color w:val="auto"/>
          <w:sz w:val="30"/>
          <w:highlight w:val="none"/>
        </w:rPr>
      </w:pPr>
      <w:r>
        <w:rPr>
          <w:rFonts w:hint="eastAsia" w:ascii="宋体" w:hAnsi="宋体" w:cs="宋体"/>
          <w:b/>
          <w:bCs/>
          <w:color w:val="auto"/>
          <w:sz w:val="28"/>
          <w:szCs w:val="28"/>
          <w:highlight w:val="none"/>
        </w:rPr>
        <w:t>1.资格证明文件封面的格式（参照此格式自拟）：</w:t>
      </w:r>
    </w:p>
    <w:p w14:paraId="52112CE0">
      <w:pPr>
        <w:shd w:val="clear" w:color="auto" w:fill="FFFFFF" w:themeFill="background1"/>
        <w:rPr>
          <w:rFonts w:ascii="宋体" w:hAnsi="宋体" w:cs="宋体"/>
          <w:color w:val="auto"/>
          <w:highlight w:val="none"/>
        </w:rPr>
      </w:pPr>
    </w:p>
    <w:p w14:paraId="35298551">
      <w:pPr>
        <w:shd w:val="clear" w:color="auto" w:fill="FFFFFF" w:themeFill="background1"/>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6DBBE151">
      <w:pPr>
        <w:shd w:val="clear" w:color="auto" w:fill="FFFFFF" w:themeFill="background1"/>
        <w:snapToGrid w:val="0"/>
        <w:spacing w:before="120" w:beforeLines="50" w:after="50"/>
        <w:rPr>
          <w:rFonts w:ascii="宋体" w:hAnsi="宋体" w:cs="宋体"/>
          <w:color w:val="auto"/>
          <w:sz w:val="24"/>
          <w:szCs w:val="20"/>
          <w:highlight w:val="none"/>
        </w:rPr>
      </w:pPr>
    </w:p>
    <w:p w14:paraId="34DF4AD9">
      <w:pPr>
        <w:shd w:val="clear" w:color="auto" w:fill="FFFFFF" w:themeFill="background1"/>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31DA1B9D">
      <w:pPr>
        <w:shd w:val="clear" w:color="auto" w:fill="FFFFFF" w:themeFill="background1"/>
        <w:snapToGrid w:val="0"/>
        <w:spacing w:before="120" w:beforeLines="50" w:after="50"/>
        <w:rPr>
          <w:rFonts w:ascii="宋体" w:hAnsi="宋体" w:cs="宋体"/>
          <w:bCs/>
          <w:color w:val="auto"/>
          <w:sz w:val="24"/>
          <w:szCs w:val="20"/>
          <w:highlight w:val="none"/>
        </w:rPr>
      </w:pPr>
    </w:p>
    <w:p w14:paraId="515B39B5">
      <w:pPr>
        <w:shd w:val="clear" w:color="auto" w:fill="FFFFFF" w:themeFill="background1"/>
        <w:snapToGrid w:val="0"/>
        <w:spacing w:before="120" w:beforeLines="50" w:after="50"/>
        <w:rPr>
          <w:rFonts w:ascii="宋体" w:hAnsi="宋体" w:cs="宋体"/>
          <w:bCs/>
          <w:color w:val="auto"/>
          <w:sz w:val="24"/>
          <w:szCs w:val="20"/>
          <w:highlight w:val="none"/>
        </w:rPr>
      </w:pPr>
    </w:p>
    <w:p w14:paraId="22782E5B">
      <w:pPr>
        <w:shd w:val="clear" w:color="auto" w:fill="FFFFFF" w:themeFill="background1"/>
        <w:snapToGrid w:val="0"/>
        <w:spacing w:before="120" w:beforeLines="50" w:after="50"/>
        <w:rPr>
          <w:rFonts w:ascii="宋体" w:hAnsi="宋体" w:cs="宋体"/>
          <w:bCs/>
          <w:color w:val="auto"/>
          <w:sz w:val="24"/>
          <w:szCs w:val="20"/>
          <w:highlight w:val="none"/>
        </w:rPr>
      </w:pPr>
    </w:p>
    <w:p w14:paraId="3B27CCCF">
      <w:pPr>
        <w:shd w:val="clear" w:color="auto" w:fill="FFFFFF" w:themeFill="background1"/>
        <w:snapToGrid w:val="0"/>
        <w:spacing w:before="120" w:beforeLines="50" w:after="50"/>
        <w:rPr>
          <w:rFonts w:ascii="宋体" w:hAnsi="宋体" w:cs="宋体"/>
          <w:bCs/>
          <w:color w:val="auto"/>
          <w:sz w:val="24"/>
          <w:szCs w:val="20"/>
          <w:highlight w:val="none"/>
        </w:rPr>
      </w:pPr>
    </w:p>
    <w:p w14:paraId="0250AFA2">
      <w:pPr>
        <w:shd w:val="clear" w:color="auto" w:fill="FFFFFF" w:themeFill="background1"/>
        <w:snapToGrid w:val="0"/>
        <w:spacing w:before="120" w:beforeLines="50" w:after="50"/>
        <w:rPr>
          <w:rFonts w:ascii="宋体" w:hAnsi="宋体" w:cs="宋体"/>
          <w:bCs/>
          <w:color w:val="auto"/>
          <w:sz w:val="24"/>
          <w:szCs w:val="20"/>
          <w:highlight w:val="none"/>
        </w:rPr>
      </w:pPr>
    </w:p>
    <w:p w14:paraId="68486A87">
      <w:pPr>
        <w:shd w:val="clear" w:color="auto" w:fill="FFFFFF" w:themeFill="background1"/>
        <w:snapToGrid w:val="0"/>
        <w:spacing w:before="120" w:beforeLines="50" w:after="50"/>
        <w:rPr>
          <w:rFonts w:ascii="宋体" w:hAnsi="宋体" w:cs="宋体"/>
          <w:bCs/>
          <w:color w:val="auto"/>
          <w:sz w:val="24"/>
          <w:szCs w:val="20"/>
          <w:highlight w:val="none"/>
        </w:rPr>
      </w:pPr>
    </w:p>
    <w:p w14:paraId="27DB658B">
      <w:pPr>
        <w:shd w:val="clear" w:color="auto" w:fill="FFFFFF" w:themeFill="background1"/>
        <w:snapToGrid w:val="0"/>
        <w:spacing w:before="120" w:beforeLines="50" w:after="50"/>
        <w:rPr>
          <w:rFonts w:ascii="宋体" w:hAnsi="宋体" w:cs="宋体"/>
          <w:bCs/>
          <w:color w:val="auto"/>
          <w:sz w:val="24"/>
          <w:szCs w:val="20"/>
          <w:highlight w:val="none"/>
        </w:rPr>
      </w:pPr>
    </w:p>
    <w:p w14:paraId="34C69FA5">
      <w:pPr>
        <w:shd w:val="clear" w:color="auto" w:fill="FFFFFF" w:themeFill="background1"/>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项目名称：</w:t>
      </w:r>
    </w:p>
    <w:p w14:paraId="0BD72968">
      <w:pPr>
        <w:shd w:val="clear" w:color="auto" w:fill="FFFFFF" w:themeFill="background1"/>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6742C9B7">
      <w:pPr>
        <w:shd w:val="clear" w:color="auto" w:fill="FFFFFF" w:themeFill="background1"/>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0995BA99">
      <w:pPr>
        <w:shd w:val="clear" w:color="auto" w:fill="FFFFFF" w:themeFill="background1"/>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49DCFBDC">
      <w:pPr>
        <w:pStyle w:val="7"/>
        <w:shd w:val="clear" w:color="auto" w:fill="FFFFFF" w:themeFill="background1"/>
        <w:snapToGrid w:val="0"/>
        <w:spacing w:before="50" w:after="50"/>
        <w:ind w:firstLine="540" w:firstLineChars="225"/>
        <w:rPr>
          <w:rFonts w:ascii="宋体" w:hAnsi="宋体" w:cs="宋体"/>
          <w:bCs/>
          <w:color w:val="auto"/>
          <w:sz w:val="24"/>
          <w:szCs w:val="24"/>
          <w:highlight w:val="none"/>
        </w:rPr>
      </w:pPr>
    </w:p>
    <w:p w14:paraId="07705AD1">
      <w:pPr>
        <w:pStyle w:val="7"/>
        <w:shd w:val="clear" w:color="auto" w:fill="FFFFFF" w:themeFill="background1"/>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615A6AC3">
      <w:pPr>
        <w:pStyle w:val="7"/>
        <w:shd w:val="clear" w:color="auto" w:fill="FFFFFF" w:themeFill="background1"/>
        <w:snapToGrid w:val="0"/>
        <w:spacing w:before="50" w:after="50"/>
        <w:ind w:firstLine="540" w:firstLineChars="225"/>
        <w:rPr>
          <w:rFonts w:ascii="宋体" w:hAnsi="宋体" w:cs="宋体"/>
          <w:bCs/>
          <w:color w:val="auto"/>
          <w:sz w:val="24"/>
          <w:szCs w:val="24"/>
          <w:highlight w:val="none"/>
        </w:rPr>
      </w:pPr>
    </w:p>
    <w:p w14:paraId="3EEA75A5">
      <w:pPr>
        <w:pStyle w:val="7"/>
        <w:shd w:val="clear" w:color="auto" w:fill="FFFFFF" w:themeFill="background1"/>
        <w:snapToGrid w:val="0"/>
        <w:spacing w:before="50" w:after="50"/>
        <w:ind w:firstLine="960" w:firstLineChars="400"/>
        <w:rPr>
          <w:rFonts w:ascii="宋体" w:hAnsi="宋体" w:cs="宋体"/>
          <w:bCs/>
          <w:color w:val="auto"/>
          <w:sz w:val="24"/>
          <w:szCs w:val="24"/>
          <w:highlight w:val="none"/>
        </w:rPr>
      </w:pPr>
    </w:p>
    <w:p w14:paraId="0171B59A">
      <w:pPr>
        <w:shd w:val="clear" w:color="auto" w:fill="FFFFFF" w:themeFill="background1"/>
        <w:snapToGrid w:val="0"/>
        <w:spacing w:before="120" w:beforeLines="50" w:after="50"/>
        <w:ind w:firstLine="645"/>
        <w:jc w:val="center"/>
        <w:rPr>
          <w:rFonts w:ascii="宋体" w:hAnsi="宋体" w:cs="宋体"/>
          <w:color w:val="auto"/>
          <w:sz w:val="24"/>
          <w:highlight w:val="none"/>
        </w:rPr>
      </w:pPr>
    </w:p>
    <w:p w14:paraId="6555A849">
      <w:pPr>
        <w:shd w:val="clear" w:color="auto" w:fill="FFFFFF" w:themeFill="background1"/>
        <w:snapToGrid w:val="0"/>
        <w:spacing w:before="120" w:beforeLines="50" w:after="50"/>
        <w:ind w:firstLine="645"/>
        <w:jc w:val="center"/>
        <w:rPr>
          <w:rFonts w:ascii="宋体" w:hAnsi="宋体" w:cs="宋体"/>
          <w:color w:val="auto"/>
          <w:sz w:val="24"/>
          <w:highlight w:val="none"/>
        </w:rPr>
      </w:pPr>
    </w:p>
    <w:p w14:paraId="7968852C">
      <w:pPr>
        <w:shd w:val="clear" w:color="auto" w:fill="FFFFFF" w:themeFill="background1"/>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0C168C5C">
      <w:pPr>
        <w:widowControl/>
        <w:shd w:val="clear" w:color="auto" w:fill="FFFFFF" w:themeFill="background1"/>
        <w:spacing w:line="360" w:lineRule="auto"/>
        <w:jc w:val="left"/>
        <w:rPr>
          <w:rFonts w:ascii="宋体" w:hAnsi="宋体" w:cs="宋体"/>
          <w:color w:val="auto"/>
          <w:sz w:val="30"/>
          <w:szCs w:val="20"/>
          <w:highlight w:val="none"/>
        </w:rPr>
        <w:sectPr>
          <w:pgSz w:w="11905" w:h="16838"/>
          <w:pgMar w:top="1134" w:right="1134" w:bottom="1134" w:left="1134" w:header="850" w:footer="850" w:gutter="0"/>
          <w:cols w:space="0" w:num="1"/>
          <w:titlePg/>
          <w:docGrid w:linePitch="331" w:charSpace="0"/>
        </w:sectPr>
      </w:pPr>
    </w:p>
    <w:p w14:paraId="14C47B6A">
      <w:pPr>
        <w:shd w:val="clear" w:color="auto" w:fill="FFFFFF" w:themeFill="background1"/>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2.资格证明文件目录</w:t>
      </w:r>
    </w:p>
    <w:p w14:paraId="4DF683D1">
      <w:pPr>
        <w:shd w:val="clear" w:color="auto" w:fill="FFFFFF" w:themeFill="background1"/>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根据招标文件规定及投标人提供的材料自行编写目录（部分格式后附）。</w:t>
      </w:r>
    </w:p>
    <w:p w14:paraId="755411E4">
      <w:pPr>
        <w:shd w:val="clear" w:color="auto" w:fill="FFFFFF" w:themeFill="background1"/>
        <w:spacing w:line="360" w:lineRule="auto"/>
        <w:rPr>
          <w:rFonts w:ascii="宋体" w:hAnsi="宋体" w:cs="宋体"/>
          <w:b/>
          <w:bCs/>
          <w:color w:val="auto"/>
          <w:sz w:val="24"/>
          <w:highlight w:val="none"/>
        </w:rPr>
      </w:pPr>
    </w:p>
    <w:p w14:paraId="490FC401">
      <w:pPr>
        <w:shd w:val="clear" w:color="auto" w:fill="FFFFFF" w:themeFill="background1"/>
        <w:snapToGrid w:val="0"/>
        <w:spacing w:line="360" w:lineRule="auto"/>
        <w:rPr>
          <w:rFonts w:ascii="宋体" w:hAnsi="宋体" w:cs="宋体"/>
          <w:b/>
          <w:color w:val="auto"/>
          <w:kern w:val="0"/>
          <w:sz w:val="32"/>
          <w:szCs w:val="32"/>
          <w:highlight w:val="none"/>
          <w:lang w:val="zh-CN"/>
        </w:rPr>
      </w:pPr>
    </w:p>
    <w:p w14:paraId="4CCE8EEE">
      <w:pPr>
        <w:shd w:val="clear" w:color="auto" w:fill="FFFFFF" w:themeFill="background1"/>
        <w:snapToGrid w:val="0"/>
        <w:spacing w:line="360" w:lineRule="auto"/>
        <w:ind w:firstLine="5160" w:firstLineChars="2150"/>
        <w:rPr>
          <w:rFonts w:ascii="宋体" w:hAnsi="宋体" w:cs="宋体"/>
          <w:color w:val="auto"/>
          <w:kern w:val="0"/>
          <w:sz w:val="24"/>
          <w:highlight w:val="none"/>
          <w:lang w:val="zh-CN"/>
        </w:rPr>
      </w:pPr>
    </w:p>
    <w:p w14:paraId="1050806C">
      <w:pPr>
        <w:shd w:val="clear" w:color="auto" w:fill="FFFFFF" w:themeFill="background1"/>
        <w:snapToGrid w:val="0"/>
        <w:spacing w:line="360" w:lineRule="auto"/>
        <w:ind w:right="480"/>
        <w:jc w:val="center"/>
        <w:rPr>
          <w:rFonts w:ascii="宋体" w:hAnsi="宋体" w:cs="宋体"/>
          <w:b/>
          <w:color w:val="auto"/>
          <w:kern w:val="0"/>
          <w:sz w:val="32"/>
          <w:szCs w:val="32"/>
          <w:highlight w:val="none"/>
          <w:lang w:val="zh-CN"/>
        </w:rPr>
      </w:pPr>
    </w:p>
    <w:p w14:paraId="2C9830D5">
      <w:pPr>
        <w:shd w:val="clear" w:color="auto" w:fill="FFFFFF" w:themeFill="background1"/>
        <w:snapToGrid w:val="0"/>
        <w:spacing w:line="360" w:lineRule="auto"/>
        <w:ind w:right="480"/>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1F61B582">
      <w:pPr>
        <w:pStyle w:val="10"/>
        <w:shd w:val="clear" w:color="auto" w:fill="FFFFFF" w:themeFill="background1"/>
        <w:rPr>
          <w:rFonts w:ascii="宋体" w:hAnsi="宋体" w:cs="宋体"/>
          <w:color w:val="auto"/>
          <w:highlight w:val="none"/>
        </w:rPr>
      </w:pPr>
      <w:r>
        <w:rPr>
          <w:rFonts w:hint="eastAsia" w:ascii="宋体" w:hAnsi="宋体" w:cs="宋体"/>
          <w:b/>
          <w:color w:val="auto"/>
          <w:kern w:val="0"/>
          <w:sz w:val="32"/>
          <w:szCs w:val="32"/>
          <w:highlight w:val="none"/>
        </w:rPr>
        <w:t>3.</w:t>
      </w:r>
      <w:r>
        <w:rPr>
          <w:rFonts w:hint="eastAsia" w:ascii="宋体" w:hAnsi="宋体" w:cs="宋体"/>
          <w:b/>
          <w:color w:val="auto"/>
          <w:sz w:val="28"/>
          <w:szCs w:val="28"/>
          <w:highlight w:val="none"/>
        </w:rPr>
        <w:t>声明函的格式</w:t>
      </w:r>
      <w:r>
        <w:rPr>
          <w:rFonts w:hint="eastAsia" w:ascii="宋体" w:hAnsi="宋体" w:cs="宋体"/>
          <w:color w:val="auto"/>
          <w:sz w:val="28"/>
          <w:szCs w:val="28"/>
          <w:highlight w:val="none"/>
        </w:rPr>
        <w:t>：</w:t>
      </w:r>
    </w:p>
    <w:p w14:paraId="4134BC5C">
      <w:pPr>
        <w:shd w:val="clear" w:color="auto" w:fill="FFFFFF" w:themeFill="background1"/>
        <w:snapToGrid w:val="0"/>
        <w:spacing w:before="50" w:after="120" w:afterLines="50"/>
        <w:jc w:val="center"/>
        <w:rPr>
          <w:rFonts w:ascii="宋体" w:hAnsi="宋体" w:cs="宋体"/>
          <w:b/>
          <w:color w:val="auto"/>
          <w:sz w:val="32"/>
          <w:szCs w:val="32"/>
          <w:highlight w:val="none"/>
        </w:rPr>
      </w:pPr>
      <w:r>
        <w:rPr>
          <w:rFonts w:hint="eastAsia" w:ascii="宋体" w:hAnsi="宋体" w:cs="宋体"/>
          <w:b/>
          <w:color w:val="auto"/>
          <w:sz w:val="32"/>
          <w:szCs w:val="32"/>
          <w:highlight w:val="none"/>
        </w:rPr>
        <w:t>声明函</w:t>
      </w:r>
    </w:p>
    <w:p w14:paraId="52BD1219">
      <w:pPr>
        <w:shd w:val="clear" w:color="auto" w:fill="FFFFFF" w:themeFill="background1"/>
        <w:tabs>
          <w:tab w:val="left" w:pos="7200"/>
        </w:tabs>
        <w:spacing w:line="440" w:lineRule="exact"/>
        <w:rPr>
          <w:rFonts w:ascii="宋体" w:hAnsi="宋体" w:cs="宋体"/>
          <w:color w:val="auto"/>
          <w:szCs w:val="21"/>
          <w:highlight w:val="none"/>
          <w:u w:val="single"/>
        </w:rPr>
      </w:pPr>
      <w:r>
        <w:rPr>
          <w:rFonts w:hint="eastAsia" w:ascii="宋体" w:hAnsi="宋体" w:cs="宋体"/>
          <w:color w:val="auto"/>
          <w:szCs w:val="21"/>
          <w:highlight w:val="none"/>
        </w:rPr>
        <w:t>致：</w:t>
      </w:r>
      <w:bookmarkStart w:id="367" w:name="PO_3000001866_PM031_5"/>
      <w:r>
        <w:rPr>
          <w:rFonts w:hint="eastAsia" w:ascii="宋体" w:hAnsi="宋体" w:cs="宋体"/>
          <w:color w:val="auto"/>
          <w:szCs w:val="21"/>
          <w:highlight w:val="none"/>
          <w:u w:val="single"/>
        </w:rPr>
        <w:t>广西科联招标中心有限公司</w:t>
      </w:r>
      <w:bookmarkEnd w:id="367"/>
      <w:r>
        <w:rPr>
          <w:rFonts w:hint="eastAsia" w:ascii="宋体" w:hAnsi="宋体" w:cs="宋体"/>
          <w:color w:val="auto"/>
          <w:szCs w:val="21"/>
          <w:highlight w:val="none"/>
          <w:u w:val="single"/>
        </w:rPr>
        <w:t xml:space="preserve"> </w:t>
      </w:r>
    </w:p>
    <w:p w14:paraId="37B100EE">
      <w:pPr>
        <w:pStyle w:val="15"/>
        <w:shd w:val="clear" w:color="auto" w:fill="FFFFFF" w:themeFill="background1"/>
        <w:spacing w:line="440" w:lineRule="exact"/>
        <w:ind w:firstLine="420" w:firstLineChars="200"/>
        <w:rPr>
          <w:color w:val="auto"/>
          <w:sz w:val="21"/>
          <w:szCs w:val="21"/>
          <w:highlight w:val="none"/>
        </w:rPr>
      </w:pPr>
      <w:r>
        <w:rPr>
          <w:rFonts w:hint="eastAsia" w:ascii="宋体" w:hAnsi="宋体" w:cs="宋体"/>
          <w:i/>
          <w:iCs/>
          <w:color w:val="auto"/>
          <w:sz w:val="21"/>
          <w:szCs w:val="21"/>
          <w:highlight w:val="none"/>
          <w:u w:val="single"/>
        </w:rPr>
        <w:t>（投标人名称）</w:t>
      </w:r>
      <w:r>
        <w:rPr>
          <w:rFonts w:hint="eastAsia" w:ascii="宋体" w:hAnsi="宋体" w:cs="宋体"/>
          <w:color w:val="auto"/>
          <w:sz w:val="21"/>
          <w:szCs w:val="21"/>
          <w:highlight w:val="none"/>
        </w:rPr>
        <w:t>系中华人民共和国合法供应商，经营地址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FA0DAF1">
      <w:pPr>
        <w:shd w:val="clear" w:color="auto" w:fill="FFFFFF" w:themeFill="background1"/>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i/>
          <w:iCs/>
          <w:color w:val="auto"/>
          <w:szCs w:val="21"/>
          <w:highlight w:val="none"/>
          <w:u w:val="single"/>
        </w:rPr>
        <w:t xml:space="preserve">（项目名称） </w:t>
      </w:r>
      <w:r>
        <w:rPr>
          <w:rFonts w:hint="eastAsia" w:ascii="宋体" w:hAnsi="宋体"/>
          <w:color w:val="auto"/>
          <w:szCs w:val="21"/>
          <w:highlight w:val="none"/>
        </w:rPr>
        <w:t>（项目编号：            ）项目的投标，为便于贵方公正、择优地确定中标人，我方就本次投标有关事项郑重声明如下：</w:t>
      </w:r>
    </w:p>
    <w:p w14:paraId="1CB378CD">
      <w:pPr>
        <w:pStyle w:val="15"/>
        <w:shd w:val="clear" w:color="auto" w:fill="FFFFFF" w:themeFill="background1"/>
        <w:spacing w:line="440" w:lineRule="exact"/>
        <w:ind w:firstLine="420" w:firstLineChars="200"/>
        <w:rPr>
          <w:color w:val="auto"/>
          <w:sz w:val="21"/>
          <w:szCs w:val="21"/>
          <w:highlight w:val="none"/>
        </w:rPr>
      </w:pPr>
      <w:r>
        <w:rPr>
          <w:rFonts w:hint="eastAsia" w:ascii="宋体" w:hAnsi="宋体" w:cs="宋体"/>
          <w:color w:val="auto"/>
          <w:sz w:val="21"/>
          <w:szCs w:val="21"/>
          <w:highlight w:val="none"/>
        </w:rPr>
        <w:t>1、我方向贵方提交的所有投标文件、资料都是准确的和真实的。</w:t>
      </w:r>
    </w:p>
    <w:p w14:paraId="2A01957B">
      <w:pPr>
        <w:shd w:val="clear" w:color="auto" w:fill="FFFFFF" w:themeFill="background1"/>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240C58C">
      <w:pPr>
        <w:shd w:val="clear" w:color="auto" w:fill="FFFFFF" w:themeFill="background1"/>
        <w:spacing w:line="4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3、在此，我方宣布同意如下：</w:t>
      </w:r>
    </w:p>
    <w:p w14:paraId="55A1EDE3">
      <w:pPr>
        <w:shd w:val="clear" w:color="auto" w:fill="FFFFFF" w:themeFill="background1"/>
        <w:spacing w:line="4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（1）将按招标文件的约定履行合同责任和义务；</w:t>
      </w:r>
    </w:p>
    <w:p w14:paraId="71FE5A20">
      <w:pPr>
        <w:shd w:val="clear" w:color="auto" w:fill="FFFFFF" w:themeFill="background1"/>
        <w:spacing w:line="4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（2）已详细审查招标文件的全部</w:t>
      </w:r>
      <w:r>
        <w:rPr>
          <w:rFonts w:hint="eastAsia" w:ascii="宋体" w:hAnsi="宋体" w:cs="宋体"/>
          <w:color w:val="auto"/>
          <w:kern w:val="0"/>
          <w:szCs w:val="21"/>
          <w:highlight w:val="none"/>
        </w:rPr>
        <w:t>内容</w:t>
      </w:r>
      <w:r>
        <w:rPr>
          <w:rFonts w:hint="eastAsia" w:ascii="宋体" w:hAnsi="宋体" w:cs="宋体"/>
          <w:color w:val="auto"/>
          <w:szCs w:val="21"/>
          <w:highlight w:val="none"/>
        </w:rPr>
        <w:t>，包括澄清或者更正公告（如有）；</w:t>
      </w:r>
    </w:p>
    <w:p w14:paraId="07CC68A8">
      <w:pPr>
        <w:shd w:val="clear" w:color="auto" w:fill="FFFFFF" w:themeFill="background1"/>
        <w:spacing w:line="4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（3）同意提供按照贵方可能要求的与投标有关的一切数据或者资料。</w:t>
      </w:r>
    </w:p>
    <w:p w14:paraId="3688D63A">
      <w:pPr>
        <w:shd w:val="clear" w:color="auto" w:fill="FFFFFF" w:themeFill="background1"/>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21C5718A">
      <w:pPr>
        <w:shd w:val="clear" w:color="auto" w:fill="FFFFFF" w:themeFill="background1"/>
        <w:spacing w:line="440" w:lineRule="exact"/>
        <w:ind w:firstLine="420" w:firstLineChars="200"/>
        <w:contextualSpacing/>
        <w:rPr>
          <w:rFonts w:ascii="宋体" w:hAnsi="宋体" w:cs="宋体"/>
          <w:i/>
          <w:iCs/>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cs="宋体"/>
          <w:i/>
          <w:iCs/>
          <w:color w:val="auto"/>
          <w:szCs w:val="21"/>
          <w:highlight w:val="none"/>
        </w:rPr>
        <w:t>（两项内容中必须选择一项）</w:t>
      </w:r>
    </w:p>
    <w:p w14:paraId="44150BA9">
      <w:pPr>
        <w:shd w:val="clear" w:color="auto" w:fill="FFFFFF" w:themeFill="background1"/>
        <w:spacing w:line="4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5239323D">
      <w:pPr>
        <w:shd w:val="clear" w:color="auto" w:fill="FFFFFF" w:themeFill="background1"/>
        <w:spacing w:line="4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C710EBB">
      <w:pPr>
        <w:shd w:val="clear" w:color="auto" w:fill="FFFFFF" w:themeFill="background1"/>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6、以上事项如有虚假或者隐瞒，我方愿意承担一切后果，并不再寻求任何旨在减轻或者免除法律责任的辩解。 </w:t>
      </w:r>
    </w:p>
    <w:p w14:paraId="0368C9AD">
      <w:pPr>
        <w:shd w:val="clear" w:color="auto" w:fill="FFFFFF" w:themeFill="background1"/>
        <w:tabs>
          <w:tab w:val="left" w:pos="939"/>
        </w:tabs>
        <w:spacing w:line="440" w:lineRule="exact"/>
        <w:ind w:left="141" w:leftChars="67" w:firstLine="315" w:firstLineChars="150"/>
        <w:contextualSpacing/>
        <w:rPr>
          <w:rFonts w:ascii="宋体" w:hAnsi="宋体" w:cs="宋体"/>
          <w:color w:val="auto"/>
          <w:szCs w:val="21"/>
          <w:highlight w:val="none"/>
        </w:rPr>
      </w:pPr>
      <w:r>
        <w:rPr>
          <w:rFonts w:hint="eastAsia" w:ascii="宋体" w:hAnsi="宋体" w:cs="宋体"/>
          <w:color w:val="auto"/>
          <w:szCs w:val="21"/>
          <w:highlight w:val="none"/>
        </w:rPr>
        <w:t>特此承诺。</w:t>
      </w:r>
    </w:p>
    <w:p w14:paraId="53B8ADA0">
      <w:pPr>
        <w:shd w:val="clear" w:color="auto" w:fill="FFFFFF" w:themeFill="background1"/>
        <w:snapToGrid w:val="0"/>
        <w:spacing w:before="50" w:after="120" w:afterLines="50" w:line="440" w:lineRule="exact"/>
        <w:ind w:firstLine="361" w:firstLineChars="200"/>
        <w:jc w:val="left"/>
        <w:rPr>
          <w:rFonts w:ascii="宋体" w:hAnsi="宋体"/>
          <w:b/>
          <w:color w:val="auto"/>
          <w:sz w:val="18"/>
          <w:szCs w:val="18"/>
          <w:highlight w:val="none"/>
        </w:rPr>
      </w:pPr>
    </w:p>
    <w:p w14:paraId="481267CC">
      <w:pPr>
        <w:shd w:val="clear" w:color="auto" w:fill="FFFFFF" w:themeFill="background1"/>
        <w:snapToGrid w:val="0"/>
        <w:spacing w:before="50" w:after="120" w:afterLines="50" w:line="440" w:lineRule="exact"/>
        <w:ind w:firstLine="361" w:firstLineChars="200"/>
        <w:jc w:val="left"/>
        <w:rPr>
          <w:rFonts w:ascii="宋体" w:hAnsi="宋体" w:cs="宋体"/>
          <w:color w:val="auto"/>
          <w:szCs w:val="21"/>
          <w:highlight w:val="none"/>
        </w:rPr>
      </w:pPr>
      <w:r>
        <w:rPr>
          <w:rFonts w:hint="eastAsia" w:ascii="宋体" w:hAnsi="宋体"/>
          <w:b/>
          <w:color w:val="auto"/>
          <w:sz w:val="18"/>
          <w:szCs w:val="18"/>
          <w:highlight w:val="none"/>
        </w:rPr>
        <w:t>注： 如为联合体投标，盖章处须加盖联合体各方公章，否则</w:t>
      </w:r>
      <w:r>
        <w:rPr>
          <w:rFonts w:hint="eastAsia" w:ascii="宋体" w:hAnsi="宋体" w:cs="宋体"/>
          <w:b/>
          <w:bCs/>
          <w:color w:val="auto"/>
          <w:sz w:val="18"/>
          <w:szCs w:val="18"/>
          <w:highlight w:val="none"/>
        </w:rPr>
        <w:t>其投标文件作无效响应处理</w:t>
      </w:r>
      <w:r>
        <w:rPr>
          <w:rFonts w:hint="eastAsia" w:ascii="宋体" w:hAnsi="宋体"/>
          <w:b/>
          <w:color w:val="auto"/>
          <w:sz w:val="18"/>
          <w:szCs w:val="18"/>
          <w:highlight w:val="none"/>
        </w:rPr>
        <w:t>。</w:t>
      </w:r>
    </w:p>
    <w:p w14:paraId="21F7C848">
      <w:pPr>
        <w:shd w:val="clear" w:color="auto" w:fill="FFFFFF" w:themeFill="background1"/>
        <w:snapToGrid w:val="0"/>
        <w:spacing w:before="50" w:after="240" w:afterLines="100"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4CE26CD0">
      <w:pPr>
        <w:shd w:val="clear" w:color="auto" w:fill="FFFFFF" w:themeFill="background1"/>
        <w:snapToGrid w:val="0"/>
        <w:spacing w:before="50" w:after="240" w:afterLines="100"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投标人名称(盖公章)：</w:t>
      </w:r>
      <w:r>
        <w:rPr>
          <w:rFonts w:hint="eastAsia" w:ascii="宋体" w:hAnsi="宋体" w:cs="宋体"/>
          <w:color w:val="auto"/>
          <w:szCs w:val="21"/>
          <w:highlight w:val="none"/>
        </w:rPr>
        <w:t xml:space="preserve">                                     年    月    日</w:t>
      </w:r>
    </w:p>
    <w:p w14:paraId="671F5DE1">
      <w:pPr>
        <w:shd w:val="clear" w:color="auto" w:fill="FFFFFF" w:themeFill="background1"/>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43809BA7">
      <w:pPr>
        <w:pStyle w:val="8"/>
        <w:shd w:val="clear" w:color="auto" w:fill="FFFFFF" w:themeFill="background1"/>
        <w:ind w:left="0"/>
        <w:jc w:val="left"/>
        <w:rPr>
          <w:rFonts w:ascii="宋体" w:hAnsi="宋体" w:cs="宋体"/>
          <w:color w:val="auto"/>
          <w:highlight w:val="none"/>
        </w:rPr>
      </w:pPr>
      <w:r>
        <w:rPr>
          <w:rFonts w:hint="eastAsia" w:ascii="宋体" w:hAnsi="宋体" w:cs="宋体"/>
          <w:b/>
          <w:bCs/>
          <w:color w:val="auto"/>
          <w:sz w:val="28"/>
          <w:szCs w:val="28"/>
          <w:highlight w:val="none"/>
        </w:rPr>
        <w:t>4.联合体投标协议书的格式：</w:t>
      </w:r>
    </w:p>
    <w:p w14:paraId="7E4C983C">
      <w:pPr>
        <w:pStyle w:val="13"/>
        <w:shd w:val="clear" w:color="auto" w:fill="FFFFFF" w:themeFill="background1"/>
        <w:spacing w:line="600" w:lineRule="exact"/>
        <w:jc w:val="center"/>
        <w:rPr>
          <w:rFonts w:hAnsi="宋体" w:cs="宋体"/>
          <w:b/>
          <w:bCs/>
          <w:color w:val="auto"/>
          <w:sz w:val="28"/>
          <w:szCs w:val="28"/>
          <w:highlight w:val="none"/>
        </w:rPr>
      </w:pPr>
    </w:p>
    <w:p w14:paraId="6C7CF233">
      <w:pPr>
        <w:pStyle w:val="13"/>
        <w:shd w:val="clear" w:color="auto" w:fill="FFFFFF" w:themeFill="background1"/>
        <w:spacing w:line="600" w:lineRule="exact"/>
        <w:jc w:val="center"/>
        <w:rPr>
          <w:rFonts w:hAnsi="宋体" w:cs="宋体"/>
          <w:color w:val="auto"/>
          <w:sz w:val="28"/>
          <w:szCs w:val="28"/>
          <w:highlight w:val="none"/>
        </w:rPr>
      </w:pPr>
      <w:r>
        <w:rPr>
          <w:rFonts w:hint="eastAsia" w:hAnsi="宋体" w:cs="宋体"/>
          <w:b/>
          <w:bCs/>
          <w:color w:val="auto"/>
          <w:sz w:val="28"/>
          <w:szCs w:val="28"/>
          <w:highlight w:val="none"/>
        </w:rPr>
        <w:t>联合体投标协议书</w:t>
      </w:r>
    </w:p>
    <w:p w14:paraId="7FF068CF">
      <w:pPr>
        <w:shd w:val="clear" w:color="auto" w:fill="FFFFFF" w:themeFill="background1"/>
        <w:autoSpaceDE w:val="0"/>
        <w:autoSpaceDN w:val="0"/>
        <w:adjustRightInd w:val="0"/>
        <w:spacing w:line="360" w:lineRule="auto"/>
        <w:jc w:val="left"/>
        <w:rPr>
          <w:rFonts w:ascii="宋体" w:hAnsi="宋体" w:cs="宋体"/>
          <w:color w:val="auto"/>
          <w:kern w:val="0"/>
          <w:szCs w:val="21"/>
          <w:highlight w:val="none"/>
          <w:u w:val="single"/>
        </w:rPr>
      </w:pPr>
    </w:p>
    <w:p w14:paraId="562137DA">
      <w:pPr>
        <w:shd w:val="clear" w:color="auto" w:fill="FFFFFF" w:themeFill="background1"/>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368" w:name="PO_3000001919_PM031_1"/>
      <w:r>
        <w:rPr>
          <w:rFonts w:hint="eastAsia" w:ascii="宋体" w:hAnsi="宋体" w:cs="宋体"/>
          <w:color w:val="auto"/>
          <w:kern w:val="0"/>
          <w:szCs w:val="21"/>
          <w:highlight w:val="none"/>
          <w:u w:val="single"/>
        </w:rPr>
        <w:t>广西科联招标中心有限公司</w:t>
      </w:r>
      <w:bookmarkEnd w:id="368"/>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i/>
          <w:iCs/>
          <w:color w:val="auto"/>
          <w:kern w:val="0"/>
          <w:szCs w:val="21"/>
          <w:highlight w:val="none"/>
          <w:u w:val="single"/>
        </w:rPr>
        <w:t>（项目名称）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3481B7AD">
      <w:pPr>
        <w:shd w:val="clear" w:color="auto" w:fill="FFFFFF" w:themeFill="background1"/>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（某成员单位名称）为联合体名称牵头人。</w:t>
      </w:r>
    </w:p>
    <w:p w14:paraId="46C03E43">
      <w:pPr>
        <w:shd w:val="clear" w:color="auto" w:fill="FFFFFF" w:themeFill="background1"/>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814CD83">
      <w:pPr>
        <w:shd w:val="clear" w:color="auto" w:fill="FFFFFF" w:themeFill="background1"/>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联合体各成员将严格按照招标文件、投标文件和合同的要求全面履行义务，并向采购人承担连带责任。</w:t>
      </w:r>
    </w:p>
    <w:p w14:paraId="2BC0329B">
      <w:pPr>
        <w:shd w:val="clear" w:color="auto" w:fill="FFFFFF" w:themeFill="background1"/>
        <w:autoSpaceDE w:val="0"/>
        <w:autoSpaceDN w:val="0"/>
        <w:adjustRightInd w:val="0"/>
        <w:spacing w:line="360" w:lineRule="auto"/>
        <w:ind w:firstLine="42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                             。</w:t>
      </w:r>
    </w:p>
    <w:p w14:paraId="6DA5BD54">
      <w:pPr>
        <w:pStyle w:val="13"/>
        <w:shd w:val="clear" w:color="auto" w:fill="FFFFFF" w:themeFill="background1"/>
        <w:spacing w:line="360" w:lineRule="auto"/>
        <w:ind w:firstLine="420" w:firstLineChars="200"/>
        <w:rPr>
          <w:rFonts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kern w:val="0"/>
          <w:szCs w:val="21"/>
          <w:highlight w:val="none"/>
          <w:u w:val="single"/>
        </w:rPr>
        <w:t xml:space="preserve">                          </w:t>
      </w:r>
      <w:r>
        <w:rPr>
          <w:rFonts w:hint="eastAsia" w:hAnsi="宋体" w:cs="宋体"/>
          <w:color w:val="auto"/>
          <w:kern w:val="0"/>
          <w:highlight w:val="none"/>
          <w:u w:val="single"/>
        </w:rPr>
        <w:t>（某成员单位名称）为</w:t>
      </w:r>
      <w:r>
        <w:rPr>
          <w:rFonts w:hint="eastAsia" w:hAnsi="宋体" w:cs="宋体"/>
          <w:color w:val="auto"/>
          <w:kern w:val="0"/>
          <w:szCs w:val="21"/>
          <w:highlight w:val="none"/>
          <w:u w:val="single"/>
        </w:rPr>
        <w:t xml:space="preserve">      </w:t>
      </w:r>
      <w:r>
        <w:rPr>
          <w:rFonts w:hint="eastAsia" w:hAnsi="宋体" w:cs="宋体"/>
          <w:color w:val="auto"/>
          <w:highlight w:val="none"/>
        </w:rPr>
        <w:t>（请填写：中型、小型、微型）企业，其协议合同金额占联合体协议合同总金额的</w:t>
      </w:r>
      <w:r>
        <w:rPr>
          <w:rFonts w:hint="eastAsia" w:hAnsi="宋体" w:cs="宋体"/>
          <w:color w:val="auto"/>
          <w:kern w:val="0"/>
          <w:szCs w:val="21"/>
          <w:highlight w:val="none"/>
          <w:u w:val="single"/>
        </w:rPr>
        <w:t xml:space="preserve">      </w:t>
      </w:r>
      <w:r>
        <w:rPr>
          <w:rFonts w:hint="eastAsia" w:hAnsi="宋体" w:cs="宋体"/>
          <w:color w:val="auto"/>
          <w:highlight w:val="none"/>
        </w:rPr>
        <w:t>%。【如联合体成员中有小型、微型企业的，请填写此条，否则无需填写；如联合体成员中有多个小型、微型企业的，请逐一列出。】</w:t>
      </w:r>
    </w:p>
    <w:p w14:paraId="1C59E0CC">
      <w:pPr>
        <w:shd w:val="clear" w:color="auto" w:fill="FFFFFF" w:themeFill="background1"/>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28C7E30F">
      <w:pPr>
        <w:shd w:val="clear" w:color="auto" w:fill="FFFFFF" w:themeFill="background1"/>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1EC4397C">
      <w:pPr>
        <w:shd w:val="clear" w:color="auto" w:fill="FFFFFF" w:themeFill="background1"/>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0A1709CB">
      <w:pPr>
        <w:shd w:val="clear" w:color="auto" w:fill="FFFFFF" w:themeFill="background1"/>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（盖公章）</w:t>
      </w:r>
    </w:p>
    <w:p w14:paraId="303D10B0">
      <w:pPr>
        <w:shd w:val="clear" w:color="auto" w:fill="FFFFFF" w:themeFill="background1"/>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6B29A003">
      <w:pPr>
        <w:shd w:val="clear" w:color="auto" w:fill="FFFFFF" w:themeFill="background1"/>
        <w:autoSpaceDE w:val="0"/>
        <w:autoSpaceDN w:val="0"/>
        <w:adjustRightInd w:val="0"/>
        <w:spacing w:line="360" w:lineRule="auto"/>
        <w:jc w:val="left"/>
        <w:rPr>
          <w:rFonts w:ascii="宋体" w:hAnsi="宋体" w:cs="宋体"/>
          <w:color w:val="auto"/>
          <w:kern w:val="0"/>
          <w:szCs w:val="21"/>
          <w:highlight w:val="none"/>
        </w:rPr>
      </w:pPr>
    </w:p>
    <w:p w14:paraId="72A91701">
      <w:pPr>
        <w:shd w:val="clear" w:color="auto" w:fill="FFFFFF" w:themeFill="background1"/>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（盖公章）</w:t>
      </w:r>
    </w:p>
    <w:p w14:paraId="49F15A3D">
      <w:pPr>
        <w:shd w:val="clear" w:color="auto" w:fill="FFFFFF" w:themeFill="background1"/>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1AE3A18D">
      <w:pPr>
        <w:shd w:val="clear" w:color="auto" w:fill="FFFFFF" w:themeFill="background1"/>
        <w:autoSpaceDE w:val="0"/>
        <w:autoSpaceDN w:val="0"/>
        <w:adjustRightInd w:val="0"/>
        <w:spacing w:line="360" w:lineRule="auto"/>
        <w:jc w:val="left"/>
        <w:rPr>
          <w:rFonts w:ascii="宋体" w:hAnsi="宋体" w:cs="宋体"/>
          <w:color w:val="auto"/>
          <w:kern w:val="0"/>
          <w:szCs w:val="21"/>
          <w:highlight w:val="none"/>
        </w:rPr>
      </w:pPr>
    </w:p>
    <w:p w14:paraId="350DC193">
      <w:pPr>
        <w:shd w:val="clear" w:color="auto" w:fill="FFFFFF" w:themeFill="background1"/>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（盖公章）</w:t>
      </w:r>
    </w:p>
    <w:p w14:paraId="59A4AD65">
      <w:pPr>
        <w:pStyle w:val="13"/>
        <w:shd w:val="clear" w:color="auto" w:fill="FFFFFF" w:themeFill="background1"/>
        <w:spacing w:line="360" w:lineRule="auto"/>
        <w:rPr>
          <w:rFonts w:hAnsi="宋体" w:cs="宋体"/>
          <w:color w:val="auto"/>
          <w:kern w:val="0"/>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（签字）</w:t>
      </w:r>
    </w:p>
    <w:p w14:paraId="1685C275">
      <w:pPr>
        <w:pStyle w:val="7"/>
        <w:shd w:val="clear" w:color="auto" w:fill="FFFFFF" w:themeFill="background1"/>
        <w:overflowPunct w:val="0"/>
        <w:spacing w:line="360" w:lineRule="auto"/>
        <w:ind w:firstLineChars="175"/>
        <w:rPr>
          <w:rFonts w:ascii="宋体" w:hAnsi="宋体" w:cs="宋体"/>
          <w:color w:val="auto"/>
          <w:sz w:val="24"/>
          <w:highlight w:val="none"/>
        </w:rPr>
      </w:pPr>
      <w:r>
        <w:rPr>
          <w:rFonts w:hint="eastAsia" w:ascii="宋体" w:hAnsi="宋体" w:cs="宋体"/>
          <w:color w:val="auto"/>
          <w:sz w:val="24"/>
          <w:highlight w:val="none"/>
        </w:rPr>
        <w:t>……</w:t>
      </w:r>
    </w:p>
    <w:p w14:paraId="0D3C08C4">
      <w:pPr>
        <w:pStyle w:val="7"/>
        <w:shd w:val="clear" w:color="auto" w:fill="FFFFFF" w:themeFill="background1"/>
        <w:overflowPunct w:val="0"/>
        <w:spacing w:line="360" w:lineRule="auto"/>
        <w:ind w:firstLineChars="175"/>
        <w:rPr>
          <w:rFonts w:ascii="宋体" w:hAnsi="宋体" w:cs="宋体"/>
          <w:color w:val="auto"/>
          <w:sz w:val="24"/>
          <w:highlight w:val="none"/>
        </w:rPr>
      </w:pPr>
    </w:p>
    <w:p w14:paraId="6F95DC92">
      <w:pPr>
        <w:pStyle w:val="7"/>
        <w:shd w:val="clear" w:color="auto" w:fill="FFFFFF" w:themeFill="background1"/>
        <w:overflowPunct w:val="0"/>
        <w:spacing w:line="360" w:lineRule="auto"/>
        <w:ind w:firstLine="7140" w:firstLineChars="2975"/>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ab/>
      </w:r>
      <w:r>
        <w:rPr>
          <w:rFonts w:hint="eastAsia" w:ascii="宋体" w:hAnsi="宋体" w:cs="宋体"/>
          <w:color w:val="auto"/>
          <w:sz w:val="24"/>
          <w:highlight w:val="none"/>
        </w:rPr>
        <w:t xml:space="preserve">年  </w:t>
      </w:r>
      <w:r>
        <w:rPr>
          <w:rFonts w:hint="eastAsia" w:ascii="宋体" w:hAnsi="宋体" w:cs="宋体"/>
          <w:color w:val="auto"/>
          <w:sz w:val="24"/>
          <w:highlight w:val="none"/>
        </w:rPr>
        <w:tab/>
      </w:r>
      <w:r>
        <w:rPr>
          <w:rFonts w:hint="eastAsia" w:ascii="宋体" w:hAnsi="宋体" w:cs="宋体"/>
          <w:color w:val="auto"/>
          <w:sz w:val="24"/>
          <w:highlight w:val="none"/>
        </w:rPr>
        <w:t xml:space="preserve">月  </w:t>
      </w:r>
      <w:r>
        <w:rPr>
          <w:rFonts w:hint="eastAsia" w:ascii="宋体" w:hAnsi="宋体" w:cs="宋体"/>
          <w:color w:val="auto"/>
          <w:sz w:val="24"/>
          <w:highlight w:val="none"/>
        </w:rPr>
        <w:tab/>
      </w:r>
      <w:r>
        <w:rPr>
          <w:rFonts w:hint="eastAsia" w:ascii="宋体" w:hAnsi="宋体" w:cs="宋体"/>
          <w:color w:val="auto"/>
          <w:sz w:val="24"/>
          <w:highlight w:val="none"/>
        </w:rPr>
        <w:t>日</w:t>
      </w:r>
    </w:p>
    <w:p w14:paraId="38A23B70">
      <w:pPr>
        <w:shd w:val="clear" w:color="auto" w:fill="FFFFFF" w:themeFill="background1"/>
        <w:rPr>
          <w:rFonts w:ascii="宋体" w:hAnsi="宋体" w:cs="宋体"/>
          <w:color w:val="auto"/>
          <w:sz w:val="24"/>
          <w:highlight w:val="none"/>
        </w:rPr>
      </w:pPr>
      <w:r>
        <w:rPr>
          <w:rFonts w:hint="eastAsia" w:ascii="宋体" w:hAnsi="宋体" w:cs="宋体"/>
          <w:color w:val="auto"/>
          <w:sz w:val="24"/>
          <w:highlight w:val="none"/>
        </w:rPr>
        <w:br w:type="page"/>
      </w:r>
    </w:p>
    <w:p w14:paraId="0028249B">
      <w:pPr>
        <w:pStyle w:val="13"/>
        <w:shd w:val="clear" w:color="auto" w:fill="FFFFFF" w:themeFill="background1"/>
        <w:jc w:val="left"/>
        <w:rPr>
          <w:rFonts w:hAnsi="宋体" w:cs="宋体"/>
          <w:b/>
          <w:color w:val="auto"/>
          <w:sz w:val="28"/>
          <w:szCs w:val="28"/>
          <w:highlight w:val="none"/>
        </w:rPr>
      </w:pPr>
    </w:p>
    <w:p w14:paraId="794F13B7">
      <w:pPr>
        <w:pStyle w:val="13"/>
        <w:shd w:val="clear" w:color="auto" w:fill="FFFFFF" w:themeFill="background1"/>
        <w:jc w:val="center"/>
        <w:outlineLvl w:val="1"/>
        <w:rPr>
          <w:rFonts w:hAnsi="宋体" w:cs="宋体"/>
          <w:b/>
          <w:bCs/>
          <w:color w:val="auto"/>
          <w:sz w:val="28"/>
          <w:szCs w:val="28"/>
          <w:highlight w:val="none"/>
        </w:rPr>
      </w:pPr>
      <w:bookmarkStart w:id="369" w:name="_Toc13159"/>
      <w:bookmarkStart w:id="370" w:name="_Toc16062"/>
      <w:bookmarkStart w:id="371" w:name="_Toc3944"/>
      <w:bookmarkStart w:id="372" w:name="_Toc20777"/>
      <w:bookmarkStart w:id="373" w:name="_Toc19686838"/>
      <w:bookmarkStart w:id="374" w:name="_Toc2566"/>
      <w:bookmarkStart w:id="375" w:name="_Toc24133"/>
      <w:bookmarkStart w:id="376" w:name="_Toc6839"/>
      <w:bookmarkStart w:id="377" w:name="_Toc12624"/>
      <w:bookmarkStart w:id="378" w:name="_Toc31528"/>
      <w:bookmarkStart w:id="379" w:name="_Toc8189"/>
    </w:p>
    <w:p w14:paraId="0604DBEA">
      <w:pPr>
        <w:pStyle w:val="13"/>
        <w:shd w:val="clear" w:color="auto" w:fill="FFFFFF" w:themeFill="background1"/>
        <w:jc w:val="center"/>
        <w:outlineLvl w:val="1"/>
        <w:rPr>
          <w:rFonts w:hAnsi="宋体" w:cs="宋体"/>
          <w:b/>
          <w:bCs/>
          <w:color w:val="auto"/>
          <w:sz w:val="28"/>
          <w:szCs w:val="28"/>
          <w:highlight w:val="none"/>
        </w:rPr>
      </w:pPr>
    </w:p>
    <w:p w14:paraId="35356E00">
      <w:pPr>
        <w:pStyle w:val="13"/>
        <w:shd w:val="clear" w:color="auto" w:fill="FFFFFF" w:themeFill="background1"/>
        <w:jc w:val="center"/>
        <w:outlineLvl w:val="1"/>
        <w:rPr>
          <w:rFonts w:hAnsi="宋体" w:cs="宋体"/>
          <w:b/>
          <w:bCs/>
          <w:color w:val="auto"/>
          <w:sz w:val="28"/>
          <w:szCs w:val="28"/>
          <w:highlight w:val="none"/>
        </w:rPr>
      </w:pPr>
      <w:r>
        <w:rPr>
          <w:rFonts w:hint="eastAsia" w:hAnsi="宋体" w:cs="宋体"/>
          <w:b/>
          <w:bCs/>
          <w:color w:val="auto"/>
          <w:sz w:val="28"/>
          <w:szCs w:val="28"/>
          <w:highlight w:val="none"/>
        </w:rPr>
        <w:t>第二节 商务文件格式</w:t>
      </w:r>
      <w:bookmarkEnd w:id="369"/>
      <w:bookmarkEnd w:id="370"/>
      <w:bookmarkEnd w:id="371"/>
      <w:bookmarkEnd w:id="372"/>
      <w:bookmarkEnd w:id="373"/>
      <w:bookmarkEnd w:id="374"/>
      <w:bookmarkEnd w:id="375"/>
      <w:bookmarkEnd w:id="376"/>
      <w:bookmarkEnd w:id="377"/>
      <w:bookmarkEnd w:id="378"/>
      <w:bookmarkEnd w:id="379"/>
    </w:p>
    <w:p w14:paraId="06EEBF22">
      <w:pPr>
        <w:shd w:val="clear" w:color="auto" w:fill="FFFFFF" w:themeFill="background1"/>
        <w:snapToGrid w:val="0"/>
        <w:spacing w:before="120" w:beforeLines="50" w:after="50"/>
        <w:rPr>
          <w:rFonts w:ascii="宋体" w:hAnsi="宋体" w:cs="宋体"/>
          <w:color w:val="auto"/>
          <w:sz w:val="30"/>
          <w:szCs w:val="20"/>
          <w:highlight w:val="none"/>
        </w:rPr>
      </w:pPr>
    </w:p>
    <w:p w14:paraId="6A24C659">
      <w:pPr>
        <w:pStyle w:val="15"/>
        <w:shd w:val="clear" w:color="auto" w:fill="FFFFFF" w:themeFill="background1"/>
        <w:rPr>
          <w:rFonts w:ascii="宋体" w:hAnsi="宋体" w:cs="宋体"/>
          <w:color w:val="auto"/>
          <w:highlight w:val="none"/>
        </w:rPr>
      </w:pPr>
      <w:r>
        <w:rPr>
          <w:rFonts w:hint="eastAsia" w:ascii="宋体" w:hAnsi="宋体" w:cs="宋体"/>
          <w:b/>
          <w:color w:val="auto"/>
          <w:sz w:val="28"/>
          <w:szCs w:val="28"/>
          <w:highlight w:val="none"/>
        </w:rPr>
        <w:t>1.商务文件封面的格式</w:t>
      </w:r>
      <w:r>
        <w:rPr>
          <w:rFonts w:hint="eastAsia" w:hAnsi="宋体" w:cs="宋体"/>
          <w:b/>
          <w:bCs/>
          <w:color w:val="auto"/>
          <w:sz w:val="28"/>
          <w:szCs w:val="28"/>
          <w:highlight w:val="none"/>
        </w:rPr>
        <w:t>（参照此格式自拟）</w:t>
      </w:r>
      <w:r>
        <w:rPr>
          <w:rFonts w:hint="eastAsia" w:ascii="宋体" w:hAnsi="宋体" w:cs="宋体"/>
          <w:b/>
          <w:color w:val="auto"/>
          <w:sz w:val="28"/>
          <w:szCs w:val="28"/>
          <w:highlight w:val="none"/>
        </w:rPr>
        <w:t>：</w:t>
      </w:r>
    </w:p>
    <w:p w14:paraId="5A597A72">
      <w:pPr>
        <w:shd w:val="clear" w:color="auto" w:fill="FFFFFF" w:themeFill="background1"/>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1FB5336A">
      <w:pPr>
        <w:shd w:val="clear" w:color="auto" w:fill="FFFFFF" w:themeFill="background1"/>
        <w:snapToGrid w:val="0"/>
        <w:spacing w:before="120" w:beforeLines="50" w:after="50"/>
        <w:rPr>
          <w:rFonts w:ascii="宋体" w:hAnsi="宋体" w:cs="宋体"/>
          <w:color w:val="auto"/>
          <w:sz w:val="24"/>
          <w:szCs w:val="20"/>
          <w:highlight w:val="none"/>
        </w:rPr>
      </w:pPr>
    </w:p>
    <w:p w14:paraId="0E797CED">
      <w:pPr>
        <w:shd w:val="clear" w:color="auto" w:fill="FFFFFF" w:themeFill="background1"/>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w:t>
      </w:r>
    </w:p>
    <w:p w14:paraId="7E4AF597">
      <w:pPr>
        <w:shd w:val="clear" w:color="auto" w:fill="FFFFFF" w:themeFill="background1"/>
        <w:snapToGrid w:val="0"/>
        <w:spacing w:before="120" w:beforeLines="50" w:after="50"/>
        <w:rPr>
          <w:rFonts w:ascii="宋体" w:hAnsi="宋体" w:cs="宋体"/>
          <w:bCs/>
          <w:color w:val="auto"/>
          <w:sz w:val="24"/>
          <w:szCs w:val="20"/>
          <w:highlight w:val="none"/>
        </w:rPr>
      </w:pPr>
    </w:p>
    <w:p w14:paraId="383EF789">
      <w:pPr>
        <w:shd w:val="clear" w:color="auto" w:fill="FFFFFF" w:themeFill="background1"/>
        <w:snapToGrid w:val="0"/>
        <w:spacing w:before="120" w:beforeLines="50" w:after="50"/>
        <w:ind w:firstLine="540" w:firstLineChars="225"/>
        <w:rPr>
          <w:rFonts w:ascii="宋体" w:hAnsi="宋体" w:cs="宋体"/>
          <w:bCs/>
          <w:color w:val="auto"/>
          <w:sz w:val="24"/>
          <w:highlight w:val="none"/>
        </w:rPr>
      </w:pPr>
    </w:p>
    <w:p w14:paraId="0143605A">
      <w:pPr>
        <w:shd w:val="clear" w:color="auto" w:fill="FFFFFF" w:themeFill="background1"/>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项目名称：</w:t>
      </w:r>
    </w:p>
    <w:p w14:paraId="610D5DA7">
      <w:pPr>
        <w:shd w:val="clear" w:color="auto" w:fill="FFFFFF" w:themeFill="background1"/>
        <w:snapToGrid w:val="0"/>
        <w:spacing w:before="120" w:beforeLines="50" w:after="50"/>
        <w:ind w:firstLine="540" w:firstLineChars="225"/>
        <w:rPr>
          <w:rFonts w:ascii="宋体" w:hAnsi="宋体" w:cs="宋体"/>
          <w:bCs/>
          <w:color w:val="auto"/>
          <w:sz w:val="24"/>
          <w:highlight w:val="none"/>
        </w:rPr>
      </w:pPr>
    </w:p>
    <w:p w14:paraId="27BCFC8A">
      <w:pPr>
        <w:shd w:val="clear" w:color="auto" w:fill="FFFFFF" w:themeFill="background1"/>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项目编号： </w:t>
      </w:r>
    </w:p>
    <w:p w14:paraId="760C2A72">
      <w:pPr>
        <w:shd w:val="clear" w:color="auto" w:fill="FFFFFF" w:themeFill="background1"/>
        <w:snapToGrid w:val="0"/>
        <w:spacing w:before="120" w:beforeLines="50" w:after="50"/>
        <w:ind w:firstLine="540" w:firstLineChars="225"/>
        <w:rPr>
          <w:rFonts w:ascii="宋体" w:hAnsi="宋体" w:cs="宋体"/>
          <w:bCs/>
          <w:color w:val="auto"/>
          <w:sz w:val="24"/>
          <w:highlight w:val="none"/>
        </w:rPr>
      </w:pPr>
    </w:p>
    <w:p w14:paraId="4DAEF56E">
      <w:pPr>
        <w:shd w:val="clear" w:color="auto" w:fill="FFFFFF" w:themeFill="background1"/>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22F8B7DF">
      <w:pPr>
        <w:shd w:val="clear" w:color="auto" w:fill="FFFFFF" w:themeFill="background1"/>
        <w:snapToGrid w:val="0"/>
        <w:spacing w:before="120" w:beforeLines="50" w:after="50"/>
        <w:ind w:firstLine="540" w:firstLineChars="225"/>
        <w:rPr>
          <w:rFonts w:ascii="宋体" w:hAnsi="宋体" w:cs="宋体"/>
          <w:bCs/>
          <w:color w:val="auto"/>
          <w:sz w:val="24"/>
          <w:szCs w:val="20"/>
          <w:highlight w:val="none"/>
        </w:rPr>
      </w:pPr>
    </w:p>
    <w:p w14:paraId="781B7FB2">
      <w:pPr>
        <w:pStyle w:val="7"/>
        <w:shd w:val="clear" w:color="auto" w:fill="FFFFFF" w:themeFill="background1"/>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12FB02C0">
      <w:pPr>
        <w:pStyle w:val="7"/>
        <w:shd w:val="clear" w:color="auto" w:fill="FFFFFF" w:themeFill="background1"/>
        <w:snapToGrid w:val="0"/>
        <w:spacing w:before="50" w:after="50"/>
        <w:ind w:firstLine="540" w:firstLineChars="225"/>
        <w:rPr>
          <w:rFonts w:ascii="宋体" w:hAnsi="宋体" w:cs="宋体"/>
          <w:bCs/>
          <w:color w:val="auto"/>
          <w:sz w:val="24"/>
          <w:szCs w:val="24"/>
          <w:highlight w:val="none"/>
        </w:rPr>
      </w:pPr>
    </w:p>
    <w:p w14:paraId="7EDB2EE9">
      <w:pPr>
        <w:pStyle w:val="7"/>
        <w:shd w:val="clear" w:color="auto" w:fill="FFFFFF" w:themeFill="background1"/>
        <w:snapToGrid w:val="0"/>
        <w:spacing w:before="50" w:after="50"/>
        <w:ind w:firstLine="960" w:firstLineChars="400"/>
        <w:rPr>
          <w:rFonts w:ascii="宋体" w:hAnsi="宋体" w:cs="宋体"/>
          <w:bCs/>
          <w:color w:val="auto"/>
          <w:sz w:val="24"/>
          <w:szCs w:val="24"/>
          <w:highlight w:val="none"/>
        </w:rPr>
      </w:pPr>
    </w:p>
    <w:p w14:paraId="0BDCF96B">
      <w:pPr>
        <w:shd w:val="clear" w:color="auto" w:fill="FFFFFF" w:themeFill="background1"/>
        <w:snapToGrid w:val="0"/>
        <w:spacing w:before="120" w:beforeLines="50" w:after="50"/>
        <w:ind w:firstLine="645"/>
        <w:rPr>
          <w:rFonts w:ascii="宋体" w:hAnsi="宋体" w:cs="宋体"/>
          <w:color w:val="auto"/>
          <w:sz w:val="24"/>
          <w:highlight w:val="none"/>
        </w:rPr>
      </w:pPr>
      <w:r>
        <w:rPr>
          <w:rFonts w:hint="eastAsia" w:ascii="宋体" w:hAnsi="宋体" w:cs="宋体"/>
          <w:color w:val="auto"/>
          <w:sz w:val="24"/>
          <w:highlight w:val="none"/>
        </w:rPr>
        <w:t xml:space="preserve">                             </w:t>
      </w:r>
    </w:p>
    <w:p w14:paraId="73347C31">
      <w:pPr>
        <w:shd w:val="clear" w:color="auto" w:fill="FFFFFF" w:themeFill="background1"/>
        <w:snapToGrid w:val="0"/>
        <w:spacing w:before="120" w:beforeLines="50" w:after="50"/>
        <w:ind w:firstLine="645"/>
        <w:rPr>
          <w:rFonts w:ascii="宋体" w:hAnsi="宋体" w:cs="宋体"/>
          <w:color w:val="auto"/>
          <w:sz w:val="24"/>
          <w:highlight w:val="none"/>
        </w:rPr>
      </w:pPr>
    </w:p>
    <w:p w14:paraId="251B775C">
      <w:pPr>
        <w:shd w:val="clear" w:color="auto" w:fill="FFFFFF" w:themeFill="background1"/>
        <w:snapToGrid w:val="0"/>
        <w:spacing w:before="120" w:beforeLines="50" w:after="50"/>
        <w:ind w:firstLine="645"/>
        <w:rPr>
          <w:rFonts w:ascii="宋体" w:hAnsi="宋体" w:cs="宋体"/>
          <w:color w:val="auto"/>
          <w:sz w:val="24"/>
          <w:highlight w:val="none"/>
        </w:rPr>
      </w:pPr>
    </w:p>
    <w:p w14:paraId="3B9D9AF3">
      <w:pPr>
        <w:shd w:val="clear" w:color="auto" w:fill="FFFFFF" w:themeFill="background1"/>
        <w:snapToGrid w:val="0"/>
        <w:spacing w:before="120" w:beforeLines="50" w:after="50"/>
        <w:ind w:firstLine="645"/>
        <w:rPr>
          <w:rFonts w:ascii="宋体" w:hAnsi="宋体" w:cs="宋体"/>
          <w:color w:val="auto"/>
          <w:sz w:val="24"/>
          <w:highlight w:val="none"/>
        </w:rPr>
      </w:pPr>
    </w:p>
    <w:p w14:paraId="11593628">
      <w:pPr>
        <w:shd w:val="clear" w:color="auto" w:fill="FFFFFF" w:themeFill="background1"/>
        <w:snapToGrid w:val="0"/>
        <w:spacing w:before="120" w:beforeLines="50" w:after="50"/>
        <w:ind w:firstLine="645"/>
        <w:rPr>
          <w:rFonts w:ascii="宋体" w:hAnsi="宋体" w:cs="宋体"/>
          <w:color w:val="auto"/>
          <w:sz w:val="24"/>
          <w:highlight w:val="none"/>
        </w:rPr>
      </w:pPr>
    </w:p>
    <w:p w14:paraId="78E136E9">
      <w:pPr>
        <w:shd w:val="clear" w:color="auto" w:fill="FFFFFF" w:themeFill="background1"/>
        <w:snapToGrid w:val="0"/>
        <w:spacing w:before="120" w:beforeLines="50" w:after="50"/>
        <w:ind w:firstLine="4329" w:firstLineChars="1804"/>
        <w:rPr>
          <w:rFonts w:ascii="宋体" w:hAnsi="宋体" w:cs="宋体"/>
          <w:color w:val="auto"/>
          <w:sz w:val="24"/>
          <w:highlight w:val="none"/>
        </w:rPr>
      </w:pPr>
      <w:r>
        <w:rPr>
          <w:rFonts w:hint="eastAsia" w:ascii="宋体" w:hAnsi="宋体" w:cs="宋体"/>
          <w:color w:val="auto"/>
          <w:sz w:val="24"/>
          <w:highlight w:val="none"/>
        </w:rPr>
        <w:t xml:space="preserve"> 年  月  日</w:t>
      </w:r>
    </w:p>
    <w:p w14:paraId="2E9947E6">
      <w:pPr>
        <w:shd w:val="clear" w:color="auto" w:fill="FFFFFF" w:themeFill="background1"/>
        <w:spacing w:line="360" w:lineRule="auto"/>
        <w:ind w:right="420"/>
        <w:rPr>
          <w:rFonts w:ascii="宋体" w:hAnsi="宋体" w:cs="宋体"/>
          <w:b/>
          <w:color w:val="auto"/>
          <w:kern w:val="0"/>
          <w:sz w:val="36"/>
          <w:szCs w:val="36"/>
          <w:highlight w:val="none"/>
        </w:rPr>
      </w:pPr>
      <w:r>
        <w:rPr>
          <w:rFonts w:hint="eastAsia" w:ascii="宋体" w:hAnsi="宋体" w:cs="宋体"/>
          <w:color w:val="auto"/>
          <w:sz w:val="24"/>
          <w:szCs w:val="20"/>
          <w:highlight w:val="none"/>
        </w:rPr>
        <w:t xml:space="preserve"> </w:t>
      </w:r>
    </w:p>
    <w:p w14:paraId="14C39325">
      <w:pPr>
        <w:shd w:val="clear" w:color="auto" w:fill="FFFFFF" w:themeFill="background1"/>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3DF5277">
      <w:pPr>
        <w:shd w:val="clear" w:color="auto" w:fill="FFFFFF" w:themeFill="background1"/>
        <w:spacing w:line="360" w:lineRule="auto"/>
        <w:ind w:right="420"/>
        <w:rPr>
          <w:rFonts w:ascii="宋体" w:hAnsi="宋体" w:cs="宋体"/>
          <w:color w:val="auto"/>
          <w:sz w:val="24"/>
          <w:szCs w:val="20"/>
          <w:highlight w:val="none"/>
        </w:rPr>
      </w:pPr>
      <w:r>
        <w:rPr>
          <w:rFonts w:hint="eastAsia" w:ascii="宋体" w:hAnsi="宋体" w:cs="宋体"/>
          <w:b/>
          <w:bCs/>
          <w:color w:val="auto"/>
          <w:sz w:val="28"/>
          <w:szCs w:val="28"/>
          <w:highlight w:val="none"/>
        </w:rPr>
        <w:t>2.商务文件目录</w:t>
      </w:r>
    </w:p>
    <w:p w14:paraId="79943CE7">
      <w:pPr>
        <w:shd w:val="clear" w:color="auto" w:fill="FFFFFF" w:themeFill="background1"/>
        <w:jc w:val="left"/>
        <w:rPr>
          <w:rFonts w:ascii="宋体" w:hAnsi="宋体" w:cs="宋体"/>
          <w:b/>
          <w:bCs/>
          <w:color w:val="auto"/>
          <w:sz w:val="30"/>
          <w:szCs w:val="30"/>
          <w:highlight w:val="none"/>
        </w:rPr>
      </w:pPr>
      <w:r>
        <w:rPr>
          <w:rFonts w:hint="eastAsia" w:ascii="宋体" w:hAnsi="宋体" w:cs="宋体"/>
          <w:color w:val="auto"/>
          <w:kern w:val="0"/>
          <w:sz w:val="24"/>
          <w:highlight w:val="none"/>
        </w:rPr>
        <w:t>根据招标文件规定及投标人提供的材料自行编写目录（部分格式后附）。</w:t>
      </w:r>
      <w:r>
        <w:rPr>
          <w:rFonts w:hint="eastAsia" w:ascii="宋体" w:hAnsi="宋体" w:cs="宋体"/>
          <w:b/>
          <w:bCs/>
          <w:color w:val="auto"/>
          <w:sz w:val="30"/>
          <w:szCs w:val="30"/>
          <w:highlight w:val="none"/>
        </w:rPr>
        <w:br w:type="page"/>
      </w:r>
    </w:p>
    <w:p w14:paraId="5A093E83">
      <w:pPr>
        <w:shd w:val="clear" w:color="auto" w:fill="FFFFFF" w:themeFill="background1"/>
        <w:snapToGrid w:val="0"/>
        <w:spacing w:before="120" w:beforeLines="50" w:after="50"/>
        <w:rPr>
          <w:rFonts w:ascii="宋体" w:hAnsi="宋体" w:cs="宋体"/>
          <w:b/>
          <w:bCs/>
          <w:color w:val="auto"/>
          <w:sz w:val="30"/>
          <w:szCs w:val="30"/>
          <w:highlight w:val="none"/>
        </w:rPr>
      </w:pPr>
      <w:r>
        <w:rPr>
          <w:rFonts w:hint="eastAsia" w:ascii="宋体" w:hAnsi="宋体" w:cs="宋体"/>
          <w:b/>
          <w:bCs/>
          <w:color w:val="auto"/>
          <w:sz w:val="28"/>
          <w:szCs w:val="28"/>
          <w:highlight w:val="none"/>
        </w:rPr>
        <w:t>3.无串通投标行为的承诺函的格式：</w:t>
      </w:r>
    </w:p>
    <w:p w14:paraId="46D4C27A">
      <w:pPr>
        <w:shd w:val="clear" w:color="auto" w:fill="FFFFFF" w:themeFill="background1"/>
        <w:snapToGrid w:val="0"/>
        <w:spacing w:before="120" w:beforeLines="50" w:after="50"/>
        <w:ind w:left="420"/>
        <w:jc w:val="center"/>
        <w:rPr>
          <w:rFonts w:ascii="宋体" w:hAnsi="宋体" w:cs="宋体"/>
          <w:b/>
          <w:color w:val="auto"/>
          <w:sz w:val="32"/>
          <w:szCs w:val="32"/>
          <w:highlight w:val="none"/>
        </w:rPr>
      </w:pPr>
    </w:p>
    <w:p w14:paraId="2A8A04B7">
      <w:pPr>
        <w:shd w:val="clear" w:color="auto" w:fill="FFFFFF" w:themeFill="background1"/>
        <w:snapToGrid w:val="0"/>
        <w:spacing w:before="120" w:beforeLines="50" w:after="50"/>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参加本项目无</w:t>
      </w:r>
      <w:r>
        <w:rPr>
          <w:rFonts w:hint="eastAsia" w:ascii="宋体" w:hAnsi="宋体" w:cs="宋体"/>
          <w:b/>
          <w:bCs/>
          <w:color w:val="auto"/>
          <w:sz w:val="32"/>
          <w:szCs w:val="32"/>
          <w:highlight w:val="none"/>
        </w:rPr>
        <w:t>串通投</w:t>
      </w:r>
      <w:r>
        <w:rPr>
          <w:rFonts w:hint="eastAsia" w:ascii="宋体" w:hAnsi="宋体" w:cs="宋体"/>
          <w:b/>
          <w:color w:val="auto"/>
          <w:sz w:val="32"/>
          <w:szCs w:val="32"/>
          <w:highlight w:val="none"/>
        </w:rPr>
        <w:t>标行为的承诺函</w:t>
      </w:r>
    </w:p>
    <w:p w14:paraId="798F8CA6">
      <w:pPr>
        <w:shd w:val="clear" w:color="auto" w:fill="FFFFFF" w:themeFill="background1"/>
        <w:snapToGrid w:val="0"/>
        <w:spacing w:before="120" w:beforeLines="50" w:after="50"/>
        <w:rPr>
          <w:rFonts w:ascii="宋体" w:hAnsi="宋体" w:cs="宋体"/>
          <w:b/>
          <w:color w:val="auto"/>
          <w:szCs w:val="21"/>
          <w:highlight w:val="none"/>
        </w:rPr>
      </w:pPr>
    </w:p>
    <w:p w14:paraId="749E8F8B">
      <w:pPr>
        <w:shd w:val="clear" w:color="auto" w:fill="FFFFFF" w:themeFill="background1"/>
        <w:snapToGrid w:val="0"/>
        <w:spacing w:before="120" w:beforeLines="50" w:after="50"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5D6DA544">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w:t>
      </w:r>
    </w:p>
    <w:p w14:paraId="142080B6">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1792E050">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28F4297B">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3D8923D2">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37D4B84D">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6A02E6CE">
      <w:pPr>
        <w:shd w:val="clear" w:color="auto" w:fill="FFFFFF" w:themeFill="background1"/>
        <w:snapToGrid w:val="0"/>
        <w:spacing w:before="120" w:beforeLines="50" w:after="50"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00A07C86">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w:t>
      </w:r>
    </w:p>
    <w:p w14:paraId="660F67EF">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w:t>
      </w:r>
    </w:p>
    <w:p w14:paraId="53F79E24">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3.投标人之间协商报价、技术方案等投标文件的实质性内容；</w:t>
      </w:r>
    </w:p>
    <w:p w14:paraId="1091A0EB">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1C56E1AF">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1ED8C8B9">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047FD95B">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045453CF">
      <w:pPr>
        <w:shd w:val="clear" w:color="auto" w:fill="FFFFFF" w:themeFill="background1"/>
        <w:snapToGrid w:val="0"/>
        <w:spacing w:before="120" w:beforeLines="50" w:after="50"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以上情形一经核查属实，接受政府采购监管部门对我方认定存在围标串标行为，我方愿意承担一切后果，并不再寻求任何旨在减轻或者免除法律责任的辩解。</w:t>
      </w:r>
    </w:p>
    <w:p w14:paraId="14559B14">
      <w:pPr>
        <w:pStyle w:val="10"/>
        <w:shd w:val="clear" w:color="auto" w:fill="FFFFFF" w:themeFill="background1"/>
        <w:rPr>
          <w:rFonts w:ascii="宋体" w:hAnsi="宋体" w:cs="宋体"/>
          <w:color w:val="auto"/>
          <w:highlight w:val="none"/>
        </w:rPr>
      </w:pPr>
    </w:p>
    <w:p w14:paraId="3E98A1DC">
      <w:pPr>
        <w:shd w:val="clear" w:color="auto" w:fill="FFFFFF" w:themeFill="background1"/>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投标人名称(盖公章)：</w:t>
      </w:r>
    </w:p>
    <w:p w14:paraId="48FAA983">
      <w:pPr>
        <w:shd w:val="clear" w:color="auto" w:fill="FFFFFF" w:themeFill="background1"/>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FD691D8">
      <w:pPr>
        <w:pStyle w:val="13"/>
        <w:shd w:val="clear" w:color="auto" w:fill="FFFFFF" w:themeFill="background1"/>
        <w:snapToGrid w:val="0"/>
        <w:spacing w:before="295" w:after="295" w:line="360" w:lineRule="auto"/>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28"/>
          <w:szCs w:val="28"/>
          <w:highlight w:val="none"/>
        </w:rPr>
        <w:t>4.法定代表人身份证明的格式：</w:t>
      </w:r>
    </w:p>
    <w:p w14:paraId="0E964290">
      <w:pPr>
        <w:shd w:val="clear" w:color="auto" w:fill="FFFFFF" w:themeFill="background1"/>
        <w:spacing w:before="240" w:beforeLines="100" w:after="120" w:afterLines="50"/>
        <w:ind w:left="540"/>
        <w:jc w:val="center"/>
        <w:rPr>
          <w:rFonts w:ascii="宋体" w:hAnsi="宋体" w:cs="宋体"/>
          <w:b/>
          <w:color w:val="auto"/>
          <w:sz w:val="32"/>
          <w:szCs w:val="32"/>
          <w:highlight w:val="none"/>
        </w:rPr>
      </w:pPr>
    </w:p>
    <w:p w14:paraId="7F6E0387">
      <w:pPr>
        <w:shd w:val="clear" w:color="auto" w:fill="FFFFFF" w:themeFill="background1"/>
        <w:spacing w:before="240" w:beforeLines="100" w:after="120" w:afterLines="50"/>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503ECEB9">
      <w:pPr>
        <w:shd w:val="clear" w:color="auto" w:fill="FFFFFF" w:themeFill="background1"/>
        <w:spacing w:line="500" w:lineRule="exact"/>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2A8BDD45">
      <w:pPr>
        <w:shd w:val="clear" w:color="auto" w:fill="FFFFFF" w:themeFill="background1"/>
        <w:spacing w:line="500" w:lineRule="exact"/>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48DD9790">
      <w:pPr>
        <w:shd w:val="clear" w:color="auto" w:fill="FFFFFF" w:themeFill="background1"/>
        <w:spacing w:line="500" w:lineRule="exact"/>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25380222">
      <w:pPr>
        <w:shd w:val="clear" w:color="auto" w:fill="FFFFFF" w:themeFill="background1"/>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1A6B6953">
      <w:pPr>
        <w:shd w:val="clear" w:color="auto" w:fill="FFFFFF" w:themeFill="background1"/>
        <w:spacing w:line="500" w:lineRule="exact"/>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6893B484">
      <w:pPr>
        <w:shd w:val="clear" w:color="auto" w:fill="FFFFFF" w:themeFill="background1"/>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16CA627F">
      <w:pPr>
        <w:shd w:val="clear" w:color="auto" w:fill="FFFFFF" w:themeFill="background1"/>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5254066E">
      <w:pPr>
        <w:shd w:val="clear" w:color="auto" w:fill="FFFFFF" w:themeFill="background1"/>
        <w:spacing w:line="500" w:lineRule="exact"/>
        <w:ind w:left="540"/>
        <w:rPr>
          <w:rFonts w:ascii="宋体" w:hAnsi="宋体" w:cs="宋体"/>
          <w:color w:val="auto"/>
          <w:sz w:val="24"/>
          <w:highlight w:val="none"/>
        </w:rPr>
      </w:pPr>
    </w:p>
    <w:p w14:paraId="128EE71F">
      <w:pPr>
        <w:shd w:val="clear" w:color="auto" w:fill="FFFFFF" w:themeFill="background1"/>
        <w:spacing w:line="500" w:lineRule="exact"/>
        <w:ind w:left="540"/>
        <w:rPr>
          <w:rFonts w:ascii="宋体" w:hAnsi="宋体" w:cs="宋体"/>
          <w:color w:val="auto"/>
          <w:sz w:val="24"/>
          <w:highlight w:val="none"/>
        </w:rPr>
      </w:pPr>
    </w:p>
    <w:p w14:paraId="55ED4FF8">
      <w:pPr>
        <w:shd w:val="clear" w:color="auto" w:fill="FFFFFF" w:themeFill="background1"/>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6C0D9DE4">
      <w:pPr>
        <w:shd w:val="clear" w:color="auto" w:fill="FFFFFF" w:themeFill="background1"/>
        <w:spacing w:line="500" w:lineRule="exact"/>
        <w:ind w:left="540"/>
        <w:rPr>
          <w:rFonts w:ascii="宋体" w:hAnsi="宋体" w:cs="宋体"/>
          <w:color w:val="auto"/>
          <w:sz w:val="24"/>
          <w:highlight w:val="none"/>
        </w:rPr>
      </w:pPr>
    </w:p>
    <w:p w14:paraId="153BF063">
      <w:pPr>
        <w:shd w:val="clear" w:color="auto" w:fill="FFFFFF" w:themeFill="background1"/>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投标人名称(盖公章)：</w:t>
      </w:r>
    </w:p>
    <w:p w14:paraId="4BE7FEB2">
      <w:pPr>
        <w:shd w:val="clear" w:color="auto" w:fill="FFFFFF" w:themeFill="background1"/>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279C5FD">
      <w:pPr>
        <w:shd w:val="clear" w:color="auto" w:fill="FFFFFF" w:themeFill="background1"/>
        <w:snapToGrid w:val="0"/>
        <w:spacing w:before="120" w:beforeLines="50" w:after="50"/>
        <w:jc w:val="center"/>
        <w:rPr>
          <w:rFonts w:ascii="宋体" w:hAnsi="宋体" w:cs="宋体"/>
          <w:b/>
          <w:color w:val="auto"/>
          <w:sz w:val="24"/>
          <w:highlight w:val="none"/>
        </w:rPr>
      </w:pPr>
    </w:p>
    <w:p w14:paraId="1CBDB847">
      <w:pPr>
        <w:shd w:val="clear" w:color="auto" w:fill="FFFFFF" w:themeFill="background1"/>
        <w:snapToGrid w:val="0"/>
        <w:spacing w:before="120" w:beforeLines="50" w:after="50"/>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001C19E7">
      <w:pPr>
        <w:shd w:val="clear" w:color="auto" w:fill="FFFFFF" w:themeFill="background1"/>
        <w:snapToGrid w:val="0"/>
        <w:spacing w:before="120" w:beforeLines="50" w:after="50"/>
        <w:ind w:firstLine="600" w:firstLineChars="250"/>
        <w:jc w:val="left"/>
        <w:rPr>
          <w:rFonts w:ascii="宋体" w:hAnsi="宋体" w:cs="宋体"/>
          <w:color w:val="auto"/>
          <w:sz w:val="24"/>
          <w:highlight w:val="none"/>
        </w:rPr>
      </w:pPr>
    </w:p>
    <w:p w14:paraId="45FFC675">
      <w:pPr>
        <w:shd w:val="clear" w:color="auto" w:fill="FFFFFF" w:themeFill="background1"/>
        <w:snapToGrid w:val="0"/>
        <w:spacing w:before="120" w:beforeLines="50" w:after="50"/>
        <w:ind w:firstLine="602" w:firstLineChars="250"/>
        <w:jc w:val="left"/>
        <w:rPr>
          <w:rFonts w:ascii="宋体" w:hAnsi="宋体" w:cs="宋体"/>
          <w:b/>
          <w:color w:val="auto"/>
          <w:sz w:val="24"/>
          <w:szCs w:val="20"/>
          <w:highlight w:val="none"/>
        </w:rPr>
      </w:pPr>
    </w:p>
    <w:tbl>
      <w:tblPr>
        <w:tblStyle w:val="23"/>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0B28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14:paraId="5081EF0A">
            <w:pPr>
              <w:shd w:val="clear" w:color="auto" w:fill="FFFFFF" w:themeFill="background1"/>
              <w:spacing w:line="360" w:lineRule="auto"/>
              <w:rPr>
                <w:rFonts w:ascii="宋体" w:hAnsi="宋体" w:cs="宋体"/>
                <w:b/>
                <w:color w:val="auto"/>
                <w:sz w:val="24"/>
                <w:highlight w:val="none"/>
              </w:rPr>
            </w:pPr>
          </w:p>
          <w:p w14:paraId="1BD03CAE">
            <w:pPr>
              <w:shd w:val="clear" w:color="auto" w:fill="FFFFFF" w:themeFill="background1"/>
              <w:spacing w:line="360" w:lineRule="auto"/>
              <w:rPr>
                <w:rFonts w:ascii="宋体" w:hAnsi="宋体" w:cs="宋体"/>
                <w:b/>
                <w:color w:val="auto"/>
                <w:sz w:val="24"/>
                <w:highlight w:val="none"/>
              </w:rPr>
            </w:pPr>
            <w:r>
              <w:rPr>
                <w:rFonts w:hint="eastAsia" w:ascii="宋体" w:hAnsi="宋体" w:cs="宋体"/>
                <w:b/>
                <w:color w:val="auto"/>
                <w:sz w:val="24"/>
                <w:highlight w:val="none"/>
              </w:rPr>
              <w:t>法定代表人有效身份证复印件粘帖处（正、反面）</w:t>
            </w:r>
          </w:p>
        </w:tc>
      </w:tr>
    </w:tbl>
    <w:p w14:paraId="7BAD4CFE">
      <w:pPr>
        <w:pStyle w:val="13"/>
        <w:shd w:val="clear" w:color="auto" w:fill="FFFFFF" w:themeFill="background1"/>
        <w:snapToGrid w:val="0"/>
        <w:spacing w:before="295" w:after="295" w:line="360" w:lineRule="auto"/>
        <w:jc w:val="left"/>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5.法定代表人授权委托书的格式：</w:t>
      </w:r>
    </w:p>
    <w:p w14:paraId="4580F756">
      <w:pPr>
        <w:shd w:val="clear" w:color="auto" w:fill="FFFFFF" w:themeFill="background1"/>
        <w:snapToGrid w:val="0"/>
        <w:spacing w:before="120" w:beforeLines="50" w:after="50"/>
        <w:jc w:val="center"/>
        <w:rPr>
          <w:rFonts w:ascii="宋体" w:hAnsi="宋体" w:cs="宋体"/>
          <w:b/>
          <w:color w:val="auto"/>
          <w:sz w:val="32"/>
          <w:szCs w:val="32"/>
          <w:highlight w:val="none"/>
        </w:rPr>
      </w:pPr>
    </w:p>
    <w:p w14:paraId="24FEEAF9">
      <w:pPr>
        <w:shd w:val="clear" w:color="auto" w:fill="FFFFFF" w:themeFill="background1"/>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法定代表人授权委托书（如有委托时）</w:t>
      </w:r>
    </w:p>
    <w:p w14:paraId="7E0BA1C9">
      <w:pPr>
        <w:shd w:val="clear" w:color="auto" w:fill="FFFFFF" w:themeFill="background1"/>
        <w:snapToGrid w:val="0"/>
        <w:spacing w:before="120" w:beforeLines="50" w:after="50"/>
        <w:jc w:val="center"/>
        <w:rPr>
          <w:rFonts w:ascii="宋体" w:hAnsi="宋体" w:cs="宋体"/>
          <w:b/>
          <w:color w:val="auto"/>
          <w:sz w:val="24"/>
          <w:highlight w:val="none"/>
        </w:rPr>
      </w:pPr>
    </w:p>
    <w:p w14:paraId="2B7BBFD3">
      <w:pPr>
        <w:pStyle w:val="13"/>
        <w:shd w:val="clear" w:color="auto" w:fill="FFFFFF" w:themeFill="background1"/>
        <w:spacing w:line="360" w:lineRule="exact"/>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bookmarkStart w:id="380" w:name="PO_3000001866_PM031_7"/>
      <w:r>
        <w:rPr>
          <w:rFonts w:hint="eastAsia" w:hAnsi="宋体" w:cs="宋体"/>
          <w:color w:val="auto"/>
          <w:highlight w:val="none"/>
          <w:u w:val="single"/>
        </w:rPr>
        <w:t>广西科联招标中心有限公司</w:t>
      </w:r>
      <w:bookmarkEnd w:id="380"/>
      <w:r>
        <w:rPr>
          <w:rFonts w:hint="eastAsia" w:hAnsi="宋体" w:cs="宋体"/>
          <w:color w:val="auto"/>
          <w:highlight w:val="none"/>
          <w:u w:val="single"/>
        </w:rPr>
        <w:t xml:space="preserve"> </w:t>
      </w:r>
    </w:p>
    <w:p w14:paraId="69061FEF">
      <w:pPr>
        <w:pStyle w:val="13"/>
        <w:shd w:val="clear" w:color="auto" w:fill="FFFFFF" w:themeFill="background1"/>
        <w:spacing w:line="360" w:lineRule="exact"/>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i/>
          <w:iCs/>
          <w:color w:val="auto"/>
          <w:highlight w:val="none"/>
          <w:u w:val="single"/>
        </w:rPr>
        <w:t>（项目名称）</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14:paraId="5C7228C7">
      <w:pPr>
        <w:pStyle w:val="13"/>
        <w:shd w:val="clear" w:color="auto" w:fill="FFFFFF" w:themeFill="background1"/>
        <w:spacing w:line="360" w:lineRule="exact"/>
        <w:ind w:firstLine="420" w:firstLineChars="200"/>
        <w:rPr>
          <w:rFonts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76941977">
      <w:pPr>
        <w:pStyle w:val="13"/>
        <w:shd w:val="clear" w:color="auto" w:fill="FFFFFF" w:themeFill="background1"/>
        <w:spacing w:line="360" w:lineRule="exact"/>
        <w:ind w:firstLine="420"/>
        <w:rPr>
          <w:rFonts w:hAnsi="宋体" w:cs="宋体"/>
          <w:color w:val="auto"/>
          <w:highlight w:val="none"/>
        </w:rPr>
      </w:pPr>
      <w:r>
        <w:rPr>
          <w:rFonts w:hint="eastAsia" w:hAnsi="宋体" w:cs="宋体"/>
          <w:color w:val="auto"/>
          <w:highlight w:val="none"/>
        </w:rPr>
        <w:t>代理人无转委托权。</w:t>
      </w:r>
    </w:p>
    <w:p w14:paraId="435EA09C">
      <w:pPr>
        <w:pStyle w:val="13"/>
        <w:shd w:val="clear" w:color="auto" w:fill="FFFFFF" w:themeFill="background1"/>
        <w:spacing w:line="360" w:lineRule="exact"/>
        <w:ind w:firstLine="420"/>
        <w:rPr>
          <w:rFonts w:hAnsi="宋体" w:cs="宋体"/>
          <w:color w:val="auto"/>
          <w:highlight w:val="none"/>
        </w:rPr>
      </w:pPr>
    </w:p>
    <w:p w14:paraId="58EDA493">
      <w:pPr>
        <w:pStyle w:val="13"/>
        <w:shd w:val="clear" w:color="auto" w:fill="FFFFFF" w:themeFill="background1"/>
        <w:spacing w:line="360" w:lineRule="exact"/>
        <w:ind w:firstLine="420"/>
        <w:rPr>
          <w:rFonts w:hAnsi="宋体" w:cs="宋体"/>
          <w:color w:val="auto"/>
          <w:highlight w:val="none"/>
          <w:u w:val="single"/>
        </w:rPr>
      </w:pPr>
      <w:r>
        <w:rPr>
          <w:rFonts w:hint="eastAsia" w:hAnsi="宋体" w:cs="宋体"/>
          <w:color w:val="auto"/>
          <w:highlight w:val="none"/>
        </w:rPr>
        <w:t>投标人名称（或联合体投标</w:t>
      </w:r>
      <w:r>
        <w:rPr>
          <w:rFonts w:hint="eastAsia" w:hAnsi="宋体" w:cs="宋体"/>
          <w:color w:val="auto"/>
          <w:kern w:val="0"/>
          <w:szCs w:val="21"/>
          <w:highlight w:val="none"/>
        </w:rPr>
        <w:t>牵头人名称</w:t>
      </w:r>
      <w:r>
        <w:rPr>
          <w:rFonts w:hint="eastAsia" w:hAnsi="宋体" w:cs="宋体"/>
          <w:color w:val="auto"/>
          <w:highlight w:val="none"/>
        </w:rPr>
        <w:t>）（盖公章）：</w:t>
      </w:r>
      <w:r>
        <w:rPr>
          <w:rFonts w:hint="eastAsia" w:hAnsi="宋体" w:cs="宋体"/>
          <w:color w:val="auto"/>
          <w:highlight w:val="none"/>
          <w:u w:val="single"/>
        </w:rPr>
        <w:t xml:space="preserve">                                    </w:t>
      </w:r>
    </w:p>
    <w:p w14:paraId="0B0959EE">
      <w:pPr>
        <w:pStyle w:val="13"/>
        <w:shd w:val="clear" w:color="auto" w:fill="FFFFFF" w:themeFill="background1"/>
        <w:spacing w:line="360" w:lineRule="exact"/>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6A7C032D">
      <w:pPr>
        <w:pStyle w:val="13"/>
        <w:shd w:val="clear" w:color="auto" w:fill="FFFFFF" w:themeFill="background1"/>
        <w:spacing w:line="360" w:lineRule="exact"/>
        <w:ind w:firstLine="420"/>
        <w:rPr>
          <w:rFonts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66B0922E">
      <w:pPr>
        <w:pStyle w:val="13"/>
        <w:shd w:val="clear" w:color="auto" w:fill="FFFFFF" w:themeFill="background1"/>
        <w:spacing w:line="360" w:lineRule="exact"/>
        <w:ind w:firstLine="420" w:firstLineChars="200"/>
        <w:rPr>
          <w:rFonts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3EF90212">
      <w:pPr>
        <w:pStyle w:val="13"/>
        <w:shd w:val="clear" w:color="auto" w:fill="FFFFFF" w:themeFill="background1"/>
        <w:spacing w:line="360" w:lineRule="exact"/>
        <w:ind w:firstLine="420"/>
        <w:rPr>
          <w:rFonts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658AD7FD">
      <w:pPr>
        <w:pStyle w:val="13"/>
        <w:shd w:val="clear" w:color="auto" w:fill="FFFFFF" w:themeFill="background1"/>
        <w:spacing w:line="360" w:lineRule="exact"/>
        <w:ind w:firstLine="420"/>
        <w:rPr>
          <w:rFonts w:hAnsi="宋体" w:cs="宋体"/>
          <w:color w:val="auto"/>
          <w:highlight w:val="none"/>
          <w:u w:val="single"/>
        </w:rPr>
      </w:pPr>
    </w:p>
    <w:p w14:paraId="3BD4E7A0">
      <w:pPr>
        <w:pStyle w:val="13"/>
        <w:shd w:val="clear" w:color="auto" w:fill="FFFFFF" w:themeFill="background1"/>
        <w:spacing w:line="360" w:lineRule="exact"/>
        <w:ind w:firstLine="420"/>
        <w:rPr>
          <w:rFonts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（盖公章）：</w:t>
      </w:r>
      <w:r>
        <w:rPr>
          <w:rFonts w:hint="eastAsia" w:hAnsi="宋体" w:cs="宋体"/>
          <w:color w:val="auto"/>
          <w:highlight w:val="none"/>
          <w:u w:val="single"/>
        </w:rPr>
        <w:t xml:space="preserve">                                    </w:t>
      </w:r>
    </w:p>
    <w:p w14:paraId="63CD77FD">
      <w:pPr>
        <w:pStyle w:val="13"/>
        <w:shd w:val="clear" w:color="auto" w:fill="FFFFFF" w:themeFill="background1"/>
        <w:spacing w:line="360" w:lineRule="exact"/>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789EB234">
      <w:pPr>
        <w:pStyle w:val="8"/>
        <w:shd w:val="clear" w:color="auto" w:fill="FFFFFF" w:themeFill="background1"/>
        <w:spacing w:line="360" w:lineRule="exact"/>
        <w:ind w:left="0" w:firstLine="420" w:firstLineChars="200"/>
        <w:rPr>
          <w:rFonts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p>
    <w:p w14:paraId="39350FFC">
      <w:pPr>
        <w:shd w:val="clear" w:color="auto" w:fill="FFFFFF" w:themeFill="background1"/>
        <w:spacing w:line="360" w:lineRule="exact"/>
        <w:ind w:firstLine="420" w:firstLineChars="200"/>
        <w:rPr>
          <w:rFonts w:ascii="宋体" w:hAnsi="宋体" w:cs="宋体"/>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p>
    <w:p w14:paraId="7A2643E3">
      <w:pPr>
        <w:pStyle w:val="13"/>
        <w:shd w:val="clear" w:color="auto" w:fill="FFFFFF" w:themeFill="background1"/>
        <w:spacing w:line="360" w:lineRule="exact"/>
        <w:ind w:firstLine="420"/>
        <w:rPr>
          <w:rFonts w:hAnsi="宋体" w:cs="宋体"/>
          <w:color w:val="auto"/>
          <w:highlight w:val="none"/>
          <w:u w:val="single"/>
        </w:rPr>
      </w:pPr>
    </w:p>
    <w:p w14:paraId="39D85553">
      <w:pPr>
        <w:shd w:val="clear" w:color="auto" w:fill="FFFFFF" w:themeFill="background1"/>
        <w:autoSpaceDE w:val="0"/>
        <w:autoSpaceDN w:val="0"/>
        <w:adjustRightInd w:val="0"/>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成员二名称（盖公章）：</w:t>
      </w:r>
      <w:r>
        <w:rPr>
          <w:rFonts w:hint="eastAsia" w:ascii="宋体" w:hAnsi="宋体" w:cs="宋体"/>
          <w:color w:val="auto"/>
          <w:kern w:val="0"/>
          <w:szCs w:val="21"/>
          <w:highlight w:val="none"/>
          <w:u w:val="single"/>
        </w:rPr>
        <w:t xml:space="preserve">                                    </w:t>
      </w:r>
    </w:p>
    <w:p w14:paraId="517C8135">
      <w:pPr>
        <w:shd w:val="clear" w:color="auto" w:fill="FFFFFF" w:themeFill="background1"/>
        <w:autoSpaceDE w:val="0"/>
        <w:autoSpaceDN w:val="0"/>
        <w:adjustRightInd w:val="0"/>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法定代表人（签字）：</w:t>
      </w:r>
      <w:r>
        <w:rPr>
          <w:rFonts w:hint="eastAsia" w:ascii="宋体" w:hAnsi="宋体" w:cs="宋体"/>
          <w:color w:val="auto"/>
          <w:kern w:val="0"/>
          <w:szCs w:val="21"/>
          <w:highlight w:val="none"/>
          <w:u w:val="single"/>
        </w:rPr>
        <w:t xml:space="preserve">                                      </w:t>
      </w:r>
    </w:p>
    <w:p w14:paraId="1E535ACD">
      <w:pPr>
        <w:pStyle w:val="8"/>
        <w:shd w:val="clear" w:color="auto" w:fill="FFFFFF" w:themeFill="background1"/>
        <w:spacing w:line="360" w:lineRule="exact"/>
        <w:ind w:left="0" w:firstLine="420" w:firstLineChars="200"/>
        <w:rPr>
          <w:rFonts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p>
    <w:p w14:paraId="04389DDB">
      <w:pPr>
        <w:shd w:val="clear" w:color="auto" w:fill="FFFFFF" w:themeFill="background1"/>
        <w:spacing w:line="360" w:lineRule="exact"/>
        <w:ind w:firstLine="420" w:firstLineChars="200"/>
        <w:rPr>
          <w:rFonts w:ascii="宋体" w:hAnsi="宋体" w:cs="宋体"/>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p>
    <w:p w14:paraId="5E4CCF9E">
      <w:pPr>
        <w:pStyle w:val="13"/>
        <w:shd w:val="clear" w:color="auto" w:fill="FFFFFF" w:themeFill="background1"/>
        <w:spacing w:line="360" w:lineRule="exact"/>
        <w:ind w:firstLine="420" w:firstLineChars="200"/>
        <w:rPr>
          <w:rFonts w:hAnsi="宋体" w:cs="宋体"/>
          <w:color w:val="auto"/>
          <w:highlight w:val="none"/>
        </w:rPr>
      </w:pPr>
      <w:r>
        <w:rPr>
          <w:rFonts w:hint="eastAsia" w:hAnsi="宋体" w:cs="宋体"/>
          <w:color w:val="auto"/>
          <w:highlight w:val="none"/>
        </w:rPr>
        <w:t>......</w:t>
      </w:r>
    </w:p>
    <w:p w14:paraId="174254A2">
      <w:pPr>
        <w:shd w:val="clear" w:color="auto" w:fill="FFFFFF" w:themeFill="background1"/>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33073660">
      <w:pPr>
        <w:shd w:val="clear" w:color="auto" w:fill="FFFFFF" w:themeFill="background1"/>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1.法定代表人和委托代理人必须在授权委托书上签字，</w:t>
      </w:r>
      <w:r>
        <w:rPr>
          <w:rFonts w:hint="eastAsia" w:ascii="宋体" w:hAnsi="宋体" w:cs="宋体"/>
          <w:b/>
          <w:bCs/>
          <w:color w:val="auto"/>
          <w:szCs w:val="21"/>
          <w:highlight w:val="none"/>
        </w:rPr>
        <w:t>否则作无效投标处理；</w:t>
      </w:r>
    </w:p>
    <w:p w14:paraId="176FD14B">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7EE54569">
      <w:pPr>
        <w:shd w:val="clear" w:color="auto" w:fill="FFFFFF" w:themeFill="background1"/>
        <w:snapToGrid w:val="0"/>
        <w:spacing w:before="50" w:after="120" w:afterLines="50"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29833DD3">
      <w:pPr>
        <w:shd w:val="clear" w:color="auto" w:fill="FFFFFF" w:themeFill="background1"/>
        <w:snapToGrid w:val="0"/>
        <w:spacing w:before="50" w:after="120" w:afterLines="50"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537955A3">
      <w:pPr>
        <w:shd w:val="clear" w:color="auto" w:fill="FFFFFF" w:themeFill="background1"/>
        <w:spacing w:line="360" w:lineRule="auto"/>
        <w:rPr>
          <w:rFonts w:ascii="宋体" w:hAnsi="宋体" w:cs="宋体"/>
          <w:b/>
          <w:color w:val="auto"/>
          <w:sz w:val="24"/>
          <w:highlight w:val="none"/>
        </w:rPr>
      </w:pPr>
    </w:p>
    <w:p w14:paraId="01AACA23">
      <w:pPr>
        <w:shd w:val="clear" w:color="auto" w:fill="FFFFFF" w:themeFill="background1"/>
        <w:rPr>
          <w:rFonts w:ascii="宋体" w:hAnsi="宋体" w:cs="宋体"/>
          <w:b/>
          <w:color w:val="auto"/>
          <w:sz w:val="24"/>
          <w:highlight w:val="none"/>
        </w:rPr>
      </w:pPr>
      <w:r>
        <w:rPr>
          <w:rFonts w:hint="eastAsia" w:ascii="宋体" w:hAnsi="宋体" w:cs="宋体"/>
          <w:b/>
          <w:color w:val="auto"/>
          <w:sz w:val="24"/>
          <w:highlight w:val="none"/>
        </w:rPr>
        <w:br w:type="page"/>
      </w:r>
    </w:p>
    <w:p w14:paraId="6269E54D">
      <w:pPr>
        <w:shd w:val="clear" w:color="auto" w:fill="FFFFFF" w:themeFill="background1"/>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23"/>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3162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tcPr>
          <w:p w14:paraId="3CD47D18">
            <w:pPr>
              <w:shd w:val="clear" w:color="auto" w:fill="FFFFFF" w:themeFill="background1"/>
              <w:spacing w:line="360" w:lineRule="auto"/>
              <w:rPr>
                <w:rFonts w:ascii="宋体" w:hAnsi="宋体" w:cs="宋体"/>
                <w:b/>
                <w:color w:val="auto"/>
                <w:sz w:val="24"/>
                <w:highlight w:val="none"/>
              </w:rPr>
            </w:pPr>
          </w:p>
          <w:p w14:paraId="34020828">
            <w:pPr>
              <w:shd w:val="clear" w:color="auto" w:fill="FFFFFF" w:themeFill="background1"/>
              <w:spacing w:line="360" w:lineRule="auto"/>
              <w:rPr>
                <w:rFonts w:ascii="宋体" w:hAnsi="宋体" w:cs="宋体"/>
                <w:b/>
                <w:color w:val="auto"/>
                <w:sz w:val="24"/>
                <w:highlight w:val="none"/>
              </w:rPr>
            </w:pPr>
            <w:r>
              <w:rPr>
                <w:rFonts w:hint="eastAsia" w:ascii="宋体" w:hAnsi="宋体" w:cs="宋体"/>
                <w:b/>
                <w:bCs/>
                <w:color w:val="auto"/>
                <w:sz w:val="24"/>
                <w:highlight w:val="none"/>
              </w:rPr>
              <w:t>委托代理人有效</w:t>
            </w:r>
            <w:r>
              <w:rPr>
                <w:rFonts w:hint="eastAsia" w:ascii="宋体" w:hAnsi="宋体" w:cs="宋体"/>
                <w:b/>
                <w:color w:val="auto"/>
                <w:sz w:val="24"/>
                <w:highlight w:val="none"/>
              </w:rPr>
              <w:t>身份证复印件粘帖处（正、反面）</w:t>
            </w:r>
          </w:p>
        </w:tc>
      </w:tr>
    </w:tbl>
    <w:p w14:paraId="77D36362">
      <w:pPr>
        <w:shd w:val="clear" w:color="auto" w:fill="FFFFFF" w:themeFill="background1"/>
        <w:snapToGrid w:val="0"/>
        <w:spacing w:before="50" w:after="120" w:afterLines="50" w:line="360" w:lineRule="auto"/>
        <w:jc w:val="left"/>
        <w:rPr>
          <w:rFonts w:ascii="宋体" w:hAnsi="宋体" w:cs="宋体"/>
          <w:color w:val="auto"/>
          <w:szCs w:val="21"/>
          <w:highlight w:val="none"/>
        </w:rPr>
      </w:pPr>
    </w:p>
    <w:p w14:paraId="7A4ECEEE">
      <w:pPr>
        <w:shd w:val="clear" w:color="auto" w:fill="FFFFFF" w:themeFill="background1"/>
        <w:snapToGrid w:val="0"/>
        <w:spacing w:before="120" w:beforeLines="50" w:after="50"/>
        <w:ind w:firstLine="566" w:firstLineChars="236"/>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2ECA2874">
      <w:pPr>
        <w:shd w:val="clear" w:color="auto" w:fill="FFFFFF" w:themeFill="background1"/>
        <w:snapToGrid w:val="0"/>
        <w:spacing w:before="120" w:beforeLines="50" w:after="50"/>
        <w:ind w:firstLine="660" w:firstLineChars="236"/>
        <w:rPr>
          <w:rFonts w:ascii="宋体" w:hAnsi="宋体" w:cs="宋体"/>
          <w:color w:val="auto"/>
          <w:sz w:val="28"/>
          <w:szCs w:val="28"/>
          <w:highlight w:val="none"/>
        </w:rPr>
      </w:pPr>
    </w:p>
    <w:p w14:paraId="357B8AED">
      <w:pPr>
        <w:shd w:val="clear" w:color="auto" w:fill="FFFFFF" w:themeFill="background1"/>
        <w:snapToGrid w:val="0"/>
        <w:spacing w:before="120" w:beforeLines="50" w:after="50"/>
        <w:ind w:firstLine="660" w:firstLineChars="236"/>
        <w:rPr>
          <w:rFonts w:ascii="宋体" w:hAnsi="宋体" w:cs="宋体"/>
          <w:color w:val="auto"/>
          <w:sz w:val="28"/>
          <w:szCs w:val="28"/>
          <w:highlight w:val="none"/>
        </w:rPr>
      </w:pPr>
    </w:p>
    <w:p w14:paraId="72493CEB">
      <w:pPr>
        <w:shd w:val="clear" w:color="auto" w:fill="FFFFFF" w:themeFill="background1"/>
        <w:snapToGrid w:val="0"/>
        <w:spacing w:before="120" w:beforeLines="50" w:after="50"/>
        <w:ind w:firstLine="660" w:firstLineChars="236"/>
        <w:rPr>
          <w:rFonts w:ascii="宋体" w:hAnsi="宋体" w:cs="宋体"/>
          <w:color w:val="auto"/>
          <w:sz w:val="28"/>
          <w:szCs w:val="28"/>
          <w:highlight w:val="none"/>
        </w:rPr>
      </w:pPr>
    </w:p>
    <w:p w14:paraId="4598D323">
      <w:pPr>
        <w:shd w:val="clear" w:color="auto" w:fill="FFFFFF" w:themeFill="background1"/>
        <w:snapToGrid w:val="0"/>
        <w:spacing w:before="120" w:beforeLines="50" w:after="50"/>
        <w:ind w:firstLine="660" w:firstLineChars="236"/>
        <w:rPr>
          <w:rFonts w:ascii="宋体" w:hAnsi="宋体" w:cs="宋体"/>
          <w:color w:val="auto"/>
          <w:sz w:val="28"/>
          <w:szCs w:val="28"/>
          <w:highlight w:val="none"/>
        </w:rPr>
      </w:pPr>
    </w:p>
    <w:p w14:paraId="0A3C9C31">
      <w:pPr>
        <w:shd w:val="clear" w:color="auto" w:fill="FFFFFF" w:themeFill="background1"/>
        <w:snapToGrid w:val="0"/>
        <w:spacing w:before="120" w:beforeLines="50" w:after="50"/>
        <w:ind w:firstLine="660" w:firstLineChars="236"/>
        <w:rPr>
          <w:rFonts w:ascii="宋体" w:hAnsi="宋体" w:cs="宋体"/>
          <w:color w:val="auto"/>
          <w:sz w:val="28"/>
          <w:szCs w:val="28"/>
          <w:highlight w:val="none"/>
        </w:rPr>
      </w:pPr>
    </w:p>
    <w:p w14:paraId="671C2491">
      <w:pPr>
        <w:shd w:val="clear" w:color="auto" w:fill="FFFFFF" w:themeFill="background1"/>
        <w:snapToGrid w:val="0"/>
        <w:spacing w:before="120" w:beforeLines="50" w:after="50"/>
        <w:ind w:firstLine="660" w:firstLineChars="236"/>
        <w:rPr>
          <w:rFonts w:ascii="宋体" w:hAnsi="宋体" w:cs="宋体"/>
          <w:color w:val="auto"/>
          <w:sz w:val="28"/>
          <w:szCs w:val="28"/>
          <w:highlight w:val="none"/>
        </w:rPr>
      </w:pPr>
    </w:p>
    <w:p w14:paraId="1F953B1D">
      <w:pPr>
        <w:shd w:val="clear" w:color="auto" w:fill="FFFFFF" w:themeFill="background1"/>
        <w:snapToGrid w:val="0"/>
        <w:spacing w:before="120" w:beforeLines="50" w:after="50"/>
        <w:ind w:firstLine="566" w:firstLineChars="236"/>
        <w:rPr>
          <w:rFonts w:ascii="宋体" w:hAnsi="宋体" w:cs="宋体"/>
          <w:color w:val="auto"/>
          <w:highlight w:val="none"/>
        </w:rPr>
      </w:pPr>
      <w:r>
        <w:rPr>
          <w:rFonts w:hint="eastAsia" w:ascii="宋体" w:hAnsi="宋体" w:cs="宋体"/>
          <w:color w:val="auto"/>
          <w:sz w:val="24"/>
          <w:highlight w:val="none"/>
        </w:rPr>
        <w:br w:type="page"/>
      </w:r>
    </w:p>
    <w:p w14:paraId="3F5DEA92">
      <w:pPr>
        <w:shd w:val="clear" w:color="auto" w:fill="FFFFFF" w:themeFill="background1"/>
        <w:jc w:val="left"/>
        <w:rPr>
          <w:rFonts w:ascii="宋体" w:hAnsi="宋体" w:cs="宋体"/>
          <w:b/>
          <w:bCs/>
          <w:color w:val="auto"/>
          <w:sz w:val="30"/>
          <w:szCs w:val="30"/>
          <w:highlight w:val="none"/>
        </w:rPr>
      </w:pPr>
      <w:r>
        <w:rPr>
          <w:rFonts w:hint="eastAsia" w:ascii="宋体" w:hAnsi="宋体" w:cs="宋体"/>
          <w:b/>
          <w:color w:val="auto"/>
          <w:sz w:val="28"/>
          <w:szCs w:val="28"/>
          <w:highlight w:val="none"/>
        </w:rPr>
        <w:t>6.商务条款偏离表的格式：</w:t>
      </w:r>
    </w:p>
    <w:p w14:paraId="235076ED">
      <w:pPr>
        <w:shd w:val="clear" w:color="auto" w:fill="FFFFFF" w:themeFill="background1"/>
        <w:jc w:val="center"/>
        <w:rPr>
          <w:rFonts w:ascii="宋体" w:hAnsi="宋体" w:cs="宋体"/>
          <w:b/>
          <w:bCs/>
          <w:color w:val="auto"/>
          <w:sz w:val="30"/>
          <w:szCs w:val="30"/>
          <w:highlight w:val="none"/>
        </w:rPr>
      </w:pPr>
    </w:p>
    <w:p w14:paraId="5FCF107B">
      <w:pPr>
        <w:shd w:val="clear" w:color="auto" w:fill="FFFFFF" w:themeFill="background1"/>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商务条款偏离表</w:t>
      </w:r>
    </w:p>
    <w:p w14:paraId="5612A8E5">
      <w:pPr>
        <w:shd w:val="clear" w:color="auto" w:fill="FFFFFF" w:themeFill="background1"/>
        <w:spacing w:line="360" w:lineRule="auto"/>
        <w:contextualSpacing/>
        <w:rPr>
          <w:rFonts w:ascii="宋体" w:hAnsi="宋体" w:cs="宋体"/>
          <w:color w:val="auto"/>
          <w:sz w:val="24"/>
          <w:highlight w:val="none"/>
        </w:rPr>
      </w:pPr>
    </w:p>
    <w:p w14:paraId="1C4DC677">
      <w:pPr>
        <w:shd w:val="clear" w:color="auto" w:fill="FFFFFF" w:themeFill="background1"/>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AB4FA25">
      <w:pPr>
        <w:shd w:val="clear" w:color="auto" w:fill="FFFFFF" w:themeFill="background1"/>
        <w:spacing w:line="360" w:lineRule="auto"/>
        <w:contextualSpacing/>
        <w:jc w:val="left"/>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0994E875">
      <w:pPr>
        <w:pStyle w:val="13"/>
        <w:shd w:val="clear" w:color="auto" w:fill="FFFFFF" w:themeFill="background1"/>
        <w:spacing w:line="480" w:lineRule="auto"/>
        <w:ind w:left="-422" w:leftChars="-201" w:firstLine="424"/>
        <w:rPr>
          <w:rFonts w:hAnsi="宋体" w:cs="宋体"/>
          <w:color w:val="auto"/>
          <w:highlight w:val="none"/>
        </w:rPr>
      </w:pPr>
      <w:r>
        <w:rPr>
          <w:rFonts w:hint="eastAsia" w:hAnsi="宋体" w:cs="宋体"/>
          <w:color w:val="auto"/>
          <w:sz w:val="24"/>
          <w:szCs w:val="24"/>
          <w:highlight w:val="none"/>
        </w:rPr>
        <w:t>所投分标</w:t>
      </w:r>
      <w:r>
        <w:rPr>
          <w:rFonts w:hint="eastAsia" w:hAnsi="宋体" w:cs="宋体"/>
          <w:color w:val="auto"/>
          <w:szCs w:val="21"/>
          <w:highlight w:val="none"/>
        </w:rPr>
        <w:t>（此处有分标时填写具体分标号，无分标时填写“无”）</w:t>
      </w:r>
      <w:r>
        <w:rPr>
          <w:rFonts w:hint="eastAsia" w:hAnsi="宋体" w:cs="宋体"/>
          <w:color w:val="auto"/>
          <w:sz w:val="24"/>
          <w:szCs w:val="24"/>
          <w:highlight w:val="none"/>
        </w:rPr>
        <w:t>：</w:t>
      </w:r>
      <w:r>
        <w:rPr>
          <w:rFonts w:hint="eastAsia" w:hAnsi="宋体" w:cs="宋体"/>
          <w:color w:val="auto"/>
          <w:sz w:val="24"/>
          <w:highlight w:val="none"/>
          <w:u w:val="single"/>
        </w:rPr>
        <w:t xml:space="preserve">           </w:t>
      </w:r>
    </w:p>
    <w:tbl>
      <w:tblPr>
        <w:tblStyle w:val="2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09DE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vAlign w:val="center"/>
          </w:tcPr>
          <w:p w14:paraId="22A7C7D7">
            <w:pPr>
              <w:shd w:val="clear" w:color="auto" w:fill="FFFFFF" w:themeFill="background1"/>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vAlign w:val="center"/>
          </w:tcPr>
          <w:p w14:paraId="3EB106AE">
            <w:pPr>
              <w:shd w:val="clear" w:color="auto" w:fill="FFFFFF" w:themeFill="background1"/>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招标文件的商务条款</w:t>
            </w:r>
          </w:p>
        </w:tc>
        <w:tc>
          <w:tcPr>
            <w:tcW w:w="3229" w:type="dxa"/>
            <w:tcBorders>
              <w:top w:val="single" w:color="auto" w:sz="4" w:space="0"/>
              <w:left w:val="single" w:color="auto" w:sz="4" w:space="0"/>
              <w:bottom w:val="single" w:color="auto" w:sz="4" w:space="0"/>
              <w:right w:val="single" w:color="auto" w:sz="4" w:space="0"/>
            </w:tcBorders>
            <w:vAlign w:val="center"/>
          </w:tcPr>
          <w:p w14:paraId="37127D96">
            <w:pPr>
              <w:shd w:val="clear" w:color="auto" w:fill="FFFFFF" w:themeFill="background1"/>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投标文件响应的商务条款</w:t>
            </w:r>
          </w:p>
        </w:tc>
        <w:tc>
          <w:tcPr>
            <w:tcW w:w="1917" w:type="dxa"/>
            <w:tcBorders>
              <w:top w:val="single" w:color="auto" w:sz="4" w:space="0"/>
              <w:left w:val="single" w:color="auto" w:sz="4" w:space="0"/>
              <w:bottom w:val="single" w:color="auto" w:sz="4" w:space="0"/>
              <w:right w:val="single" w:color="auto" w:sz="4" w:space="0"/>
            </w:tcBorders>
            <w:vAlign w:val="center"/>
          </w:tcPr>
          <w:p w14:paraId="48A42DC3">
            <w:pPr>
              <w:shd w:val="clear" w:color="auto" w:fill="FFFFFF" w:themeFill="background1"/>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37C8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698CED31">
            <w:pPr>
              <w:shd w:val="clear" w:color="auto" w:fill="FFFFFF" w:themeFill="background1"/>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tcPr>
          <w:p w14:paraId="5C3FA544">
            <w:pPr>
              <w:shd w:val="clear" w:color="auto" w:fill="FFFFFF" w:themeFill="background1"/>
              <w:spacing w:line="340" w:lineRule="exact"/>
              <w:rPr>
                <w:rFonts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tcPr>
          <w:p w14:paraId="45EDB5CD">
            <w:pPr>
              <w:shd w:val="clear" w:color="auto" w:fill="FFFFFF" w:themeFill="background1"/>
              <w:spacing w:line="340" w:lineRule="exact"/>
              <w:rPr>
                <w:rFonts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tcPr>
          <w:p w14:paraId="11D25310">
            <w:pPr>
              <w:shd w:val="clear" w:color="auto" w:fill="FFFFFF" w:themeFill="background1"/>
              <w:spacing w:line="300" w:lineRule="exact"/>
              <w:rPr>
                <w:rFonts w:ascii="宋体" w:hAnsi="宋体" w:cs="宋体"/>
                <w:color w:val="auto"/>
                <w:szCs w:val="21"/>
                <w:highlight w:val="none"/>
              </w:rPr>
            </w:pPr>
          </w:p>
        </w:tc>
      </w:tr>
      <w:tr w14:paraId="346B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263B3D71">
            <w:pPr>
              <w:shd w:val="clear" w:color="auto" w:fill="FFFFFF" w:themeFill="background1"/>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tcPr>
          <w:p w14:paraId="4D032185">
            <w:pPr>
              <w:shd w:val="clear" w:color="auto" w:fill="FFFFFF" w:themeFill="background1"/>
              <w:spacing w:line="340" w:lineRule="exact"/>
              <w:rPr>
                <w:rFonts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tcPr>
          <w:p w14:paraId="02C5EDEA">
            <w:pPr>
              <w:shd w:val="clear" w:color="auto" w:fill="FFFFFF" w:themeFill="background1"/>
              <w:spacing w:line="340" w:lineRule="exact"/>
              <w:rPr>
                <w:rFonts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tcPr>
          <w:p w14:paraId="4230515E">
            <w:pPr>
              <w:shd w:val="clear" w:color="auto" w:fill="FFFFFF" w:themeFill="background1"/>
              <w:spacing w:line="300" w:lineRule="exact"/>
              <w:rPr>
                <w:rFonts w:ascii="宋体" w:hAnsi="宋体" w:cs="宋体"/>
                <w:color w:val="auto"/>
                <w:szCs w:val="21"/>
                <w:highlight w:val="none"/>
              </w:rPr>
            </w:pPr>
          </w:p>
        </w:tc>
      </w:tr>
      <w:tr w14:paraId="7676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tcPr>
          <w:p w14:paraId="1CC2A608">
            <w:pPr>
              <w:shd w:val="clear" w:color="auto" w:fill="FFFFFF" w:themeFill="background1"/>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tcPr>
          <w:p w14:paraId="477B67A3">
            <w:pPr>
              <w:shd w:val="clear" w:color="auto" w:fill="FFFFFF" w:themeFill="background1"/>
              <w:spacing w:line="340" w:lineRule="exact"/>
              <w:rPr>
                <w:rFonts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tcPr>
          <w:p w14:paraId="0E0EE4E1">
            <w:pPr>
              <w:shd w:val="clear" w:color="auto" w:fill="FFFFFF" w:themeFill="background1"/>
              <w:spacing w:line="340" w:lineRule="exact"/>
              <w:rPr>
                <w:rFonts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tcPr>
          <w:p w14:paraId="41B58284">
            <w:pPr>
              <w:shd w:val="clear" w:color="auto" w:fill="FFFFFF" w:themeFill="background1"/>
              <w:spacing w:line="300" w:lineRule="exact"/>
              <w:rPr>
                <w:rFonts w:ascii="宋体" w:hAnsi="宋体" w:cs="宋体"/>
                <w:color w:val="auto"/>
                <w:szCs w:val="21"/>
                <w:highlight w:val="none"/>
              </w:rPr>
            </w:pPr>
          </w:p>
        </w:tc>
      </w:tr>
    </w:tbl>
    <w:p w14:paraId="151068B1">
      <w:pPr>
        <w:pStyle w:val="13"/>
        <w:shd w:val="clear" w:color="auto" w:fill="FFFFFF" w:themeFill="background1"/>
        <w:spacing w:line="360" w:lineRule="auto"/>
        <w:ind w:left="-708" w:leftChars="-337"/>
        <w:rPr>
          <w:rFonts w:hAnsi="宋体" w:cs="宋体"/>
          <w:color w:val="auto"/>
          <w:highlight w:val="none"/>
        </w:rPr>
      </w:pPr>
    </w:p>
    <w:p w14:paraId="52E18C8C">
      <w:pPr>
        <w:pStyle w:val="13"/>
        <w:shd w:val="clear" w:color="auto" w:fill="FFFFFF" w:themeFill="background1"/>
        <w:spacing w:line="360" w:lineRule="auto"/>
        <w:ind w:firstLine="420" w:firstLineChars="200"/>
        <w:rPr>
          <w:rFonts w:hAnsi="宋体" w:cs="宋体"/>
          <w:color w:val="auto"/>
          <w:highlight w:val="none"/>
        </w:rPr>
      </w:pPr>
      <w:r>
        <w:rPr>
          <w:rFonts w:hint="eastAsia" w:hAnsi="宋体" w:cs="宋体"/>
          <w:color w:val="auto"/>
          <w:highlight w:val="none"/>
        </w:rPr>
        <w:t>注：</w:t>
      </w:r>
    </w:p>
    <w:p w14:paraId="337CE7B2">
      <w:pPr>
        <w:pStyle w:val="13"/>
        <w:shd w:val="clear" w:color="auto" w:fill="FFFFFF" w:themeFill="background1"/>
        <w:spacing w:line="360" w:lineRule="auto"/>
        <w:ind w:firstLine="420" w:firstLineChars="200"/>
        <w:rPr>
          <w:rFonts w:hAnsi="宋体" w:cs="宋体"/>
          <w:color w:val="auto"/>
          <w:highlight w:val="none"/>
        </w:rPr>
      </w:pPr>
      <w:r>
        <w:rPr>
          <w:rFonts w:hint="eastAsia" w:hAnsi="宋体" w:cs="宋体"/>
          <w:color w:val="auto"/>
          <w:highlight w:val="none"/>
        </w:rPr>
        <w:t>1.表格内容均需按要求填写并加盖投标人公章。</w:t>
      </w:r>
    </w:p>
    <w:p w14:paraId="056C3B2C">
      <w:pPr>
        <w:pStyle w:val="13"/>
        <w:shd w:val="clear" w:color="auto" w:fill="FFFFFF" w:themeFill="background1"/>
        <w:spacing w:line="360" w:lineRule="auto"/>
        <w:ind w:left="-424" w:leftChars="-202" w:firstLine="846"/>
        <w:rPr>
          <w:rFonts w:hAnsi="宋体" w:cs="宋体"/>
          <w:color w:val="auto"/>
          <w:highlight w:val="none"/>
        </w:rPr>
      </w:pPr>
      <w:r>
        <w:rPr>
          <w:rFonts w:hint="eastAsia" w:hAnsi="宋体" w:cs="宋体"/>
          <w:color w:val="auto"/>
          <w:highlight w:val="none"/>
        </w:rPr>
        <w:t xml:space="preserve">2.请逐条对应本项目招标文件“第二章  </w:t>
      </w:r>
      <w:r>
        <w:rPr>
          <w:rFonts w:hint="eastAsia" w:hAnsi="宋体" w:cs="宋体"/>
          <w:b/>
          <w:color w:val="auto"/>
          <w:szCs w:val="21"/>
          <w:highlight w:val="none"/>
        </w:rPr>
        <w:t>采购需求</w:t>
      </w:r>
      <w:r>
        <w:rPr>
          <w:rFonts w:hint="eastAsia" w:hAnsi="宋体" w:cs="宋体"/>
          <w:color w:val="auto"/>
          <w:highlight w:val="none"/>
        </w:rPr>
        <w:t>”中“商务条款”的要求，详细填写相应的具体内容。“偏离说明”一栏应当选择“正偏离”或“负偏离”或“无偏离”进行填写。</w:t>
      </w:r>
    </w:p>
    <w:p w14:paraId="4BD21377">
      <w:pPr>
        <w:pStyle w:val="13"/>
        <w:shd w:val="clear" w:color="auto" w:fill="FFFFFF" w:themeFill="background1"/>
        <w:spacing w:line="360" w:lineRule="auto"/>
        <w:ind w:left="-603" w:leftChars="-287" w:firstLine="945" w:firstLineChars="450"/>
        <w:rPr>
          <w:rFonts w:hAnsi="宋体" w:cs="宋体"/>
          <w:color w:val="auto"/>
          <w:highlight w:val="none"/>
        </w:rPr>
      </w:pPr>
      <w:r>
        <w:rPr>
          <w:rFonts w:hint="eastAsia" w:hAnsi="宋体" w:cs="宋体"/>
          <w:color w:val="auto"/>
          <w:highlight w:val="none"/>
        </w:rPr>
        <w:t>3.当投标文件的商务内容低于招标文件要求时，投标人应当如实写明“负偏离”。</w:t>
      </w:r>
    </w:p>
    <w:p w14:paraId="7A4755D7">
      <w:pPr>
        <w:pStyle w:val="13"/>
        <w:shd w:val="clear" w:color="auto" w:fill="FFFFFF" w:themeFill="background1"/>
        <w:spacing w:line="360" w:lineRule="auto"/>
        <w:ind w:left="-708" w:leftChars="-337" w:firstLine="1050" w:firstLineChars="500"/>
        <w:rPr>
          <w:rFonts w:hAnsi="宋体" w:cs="宋体"/>
          <w:color w:val="auto"/>
          <w:szCs w:val="21"/>
          <w:highlight w:val="none"/>
        </w:rPr>
      </w:pPr>
    </w:p>
    <w:p w14:paraId="746E1884">
      <w:pPr>
        <w:shd w:val="clear" w:color="auto" w:fill="FFFFFF" w:themeFill="background1"/>
        <w:snapToGrid w:val="0"/>
        <w:spacing w:before="50" w:after="50"/>
        <w:rPr>
          <w:rFonts w:ascii="宋体" w:hAnsi="宋体" w:cs="宋体"/>
          <w:color w:val="auto"/>
          <w:sz w:val="24"/>
          <w:highlight w:val="none"/>
        </w:rPr>
      </w:pPr>
    </w:p>
    <w:p w14:paraId="1C4DB7CE">
      <w:pPr>
        <w:shd w:val="clear" w:color="auto" w:fill="FFFFFF" w:themeFill="background1"/>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投标人名称(盖公章)：</w:t>
      </w:r>
    </w:p>
    <w:p w14:paraId="6123BACC">
      <w:pPr>
        <w:shd w:val="clear" w:color="auto" w:fill="FFFFFF" w:themeFill="background1"/>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47E9626">
      <w:pPr>
        <w:shd w:val="clear" w:color="auto" w:fill="FFFFFF" w:themeFill="background1"/>
        <w:rPr>
          <w:rFonts w:ascii="宋体" w:hAnsi="宋体" w:cs="宋体"/>
          <w:color w:val="auto"/>
          <w:highlight w:val="none"/>
        </w:rPr>
      </w:pPr>
    </w:p>
    <w:p w14:paraId="0EDBF715">
      <w:pPr>
        <w:widowControl/>
        <w:shd w:val="clear" w:color="auto" w:fill="FFFFFF" w:themeFill="background1"/>
        <w:jc w:val="left"/>
        <w:rPr>
          <w:rFonts w:ascii="宋体" w:hAnsi="宋体" w:cs="宋体"/>
          <w:b/>
          <w:bCs/>
          <w:color w:val="auto"/>
          <w:sz w:val="30"/>
          <w:szCs w:val="30"/>
          <w:highlight w:val="none"/>
        </w:rPr>
        <w:sectPr>
          <w:pgSz w:w="11905" w:h="16838"/>
          <w:pgMar w:top="1134" w:right="1134" w:bottom="1134" w:left="1134" w:header="850" w:footer="850" w:gutter="0"/>
          <w:cols w:space="0" w:num="1"/>
          <w:titlePg/>
          <w:docGrid w:linePitch="331" w:charSpace="0"/>
        </w:sectPr>
      </w:pPr>
    </w:p>
    <w:p w14:paraId="6D9E60AF">
      <w:pPr>
        <w:pStyle w:val="13"/>
        <w:shd w:val="clear" w:color="auto" w:fill="FFFFFF" w:themeFill="background1"/>
        <w:jc w:val="center"/>
        <w:outlineLvl w:val="1"/>
        <w:rPr>
          <w:rFonts w:hAnsi="宋体" w:cs="宋体"/>
          <w:b/>
          <w:bCs/>
          <w:color w:val="auto"/>
          <w:sz w:val="28"/>
          <w:szCs w:val="28"/>
          <w:highlight w:val="none"/>
        </w:rPr>
      </w:pPr>
      <w:bookmarkStart w:id="381" w:name="_Toc8889"/>
      <w:bookmarkStart w:id="382" w:name="_Toc1161"/>
      <w:bookmarkStart w:id="383" w:name="_Toc10435"/>
      <w:bookmarkStart w:id="384" w:name="_Toc19686839"/>
      <w:bookmarkStart w:id="385" w:name="_Toc24407"/>
      <w:bookmarkStart w:id="386" w:name="_Toc10197"/>
      <w:bookmarkStart w:id="387" w:name="_Toc585"/>
      <w:bookmarkStart w:id="388" w:name="_Toc27757"/>
      <w:bookmarkStart w:id="389" w:name="_Toc17437"/>
      <w:bookmarkStart w:id="390" w:name="_Toc24098"/>
      <w:bookmarkStart w:id="391" w:name="_Toc23685"/>
      <w:r>
        <w:rPr>
          <w:rFonts w:hint="eastAsia" w:hAnsi="宋体" w:cs="宋体"/>
          <w:b/>
          <w:bCs/>
          <w:color w:val="auto"/>
          <w:sz w:val="28"/>
          <w:szCs w:val="28"/>
          <w:highlight w:val="none"/>
        </w:rPr>
        <w:t>第三节 技术文件格式</w:t>
      </w:r>
      <w:bookmarkEnd w:id="381"/>
      <w:bookmarkEnd w:id="382"/>
      <w:bookmarkEnd w:id="383"/>
      <w:bookmarkEnd w:id="384"/>
      <w:bookmarkEnd w:id="385"/>
      <w:bookmarkEnd w:id="386"/>
      <w:bookmarkEnd w:id="387"/>
      <w:bookmarkEnd w:id="388"/>
      <w:bookmarkEnd w:id="389"/>
      <w:bookmarkEnd w:id="390"/>
      <w:bookmarkEnd w:id="391"/>
    </w:p>
    <w:p w14:paraId="53BA8E94">
      <w:pPr>
        <w:shd w:val="clear" w:color="auto" w:fill="FFFFFF" w:themeFill="background1"/>
        <w:snapToGrid w:val="0"/>
        <w:spacing w:before="120" w:beforeLines="50" w:after="50"/>
        <w:rPr>
          <w:rFonts w:ascii="宋体" w:hAnsi="宋体" w:cs="宋体"/>
          <w:color w:val="auto"/>
          <w:sz w:val="24"/>
          <w:highlight w:val="none"/>
        </w:rPr>
      </w:pPr>
      <w:r>
        <w:rPr>
          <w:rFonts w:hint="eastAsia" w:ascii="宋体" w:hAnsi="宋体" w:cs="宋体"/>
          <w:color w:val="auto"/>
          <w:sz w:val="24"/>
          <w:highlight w:val="none"/>
        </w:rPr>
        <w:t xml:space="preserve">   </w:t>
      </w:r>
    </w:p>
    <w:p w14:paraId="7B0F8F00">
      <w:pPr>
        <w:shd w:val="clear" w:color="auto" w:fill="FFFFFF" w:themeFill="background1"/>
        <w:snapToGrid w:val="0"/>
        <w:spacing w:before="120" w:beforeLines="50" w:after="50"/>
        <w:rPr>
          <w:rFonts w:ascii="宋体" w:hAnsi="宋体" w:cs="宋体"/>
          <w:color w:val="auto"/>
          <w:sz w:val="24"/>
          <w:highlight w:val="none"/>
        </w:rPr>
      </w:pPr>
      <w:r>
        <w:rPr>
          <w:rFonts w:hint="eastAsia" w:ascii="宋体" w:hAnsi="宋体" w:cs="宋体"/>
          <w:b/>
          <w:color w:val="auto"/>
          <w:sz w:val="28"/>
          <w:szCs w:val="28"/>
          <w:highlight w:val="none"/>
        </w:rPr>
        <w:t>1. 技术文件封面的格式（参照此格式自拟）：</w:t>
      </w:r>
    </w:p>
    <w:p w14:paraId="7E520AAF">
      <w:pPr>
        <w:shd w:val="clear" w:color="auto" w:fill="FFFFFF" w:themeFill="background1"/>
        <w:snapToGrid w:val="0"/>
        <w:spacing w:before="120" w:beforeLines="50" w:after="50"/>
        <w:ind w:firstLine="1200" w:firstLineChars="50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498D6C0D">
      <w:pPr>
        <w:shd w:val="clear" w:color="auto" w:fill="FFFFFF" w:themeFill="background1"/>
        <w:snapToGrid w:val="0"/>
        <w:spacing w:before="120" w:beforeLines="50" w:after="50"/>
        <w:rPr>
          <w:rFonts w:ascii="宋体" w:hAnsi="宋体" w:cs="宋体"/>
          <w:color w:val="auto"/>
          <w:sz w:val="24"/>
          <w:szCs w:val="20"/>
          <w:highlight w:val="none"/>
        </w:rPr>
      </w:pPr>
    </w:p>
    <w:p w14:paraId="5E3671E6">
      <w:pPr>
        <w:shd w:val="clear" w:color="auto" w:fill="FFFFFF" w:themeFill="background1"/>
        <w:snapToGrid w:val="0"/>
        <w:spacing w:before="120" w:beforeLines="50" w:after="50"/>
        <w:jc w:val="center"/>
        <w:rPr>
          <w:rFonts w:ascii="宋体" w:hAnsi="宋体" w:cs="宋体"/>
          <w:b/>
          <w:bCs/>
          <w:color w:val="auto"/>
          <w:sz w:val="32"/>
          <w:szCs w:val="32"/>
          <w:highlight w:val="none"/>
        </w:rPr>
      </w:pPr>
    </w:p>
    <w:p w14:paraId="0A4FA858">
      <w:pPr>
        <w:shd w:val="clear" w:color="auto" w:fill="FFFFFF" w:themeFill="background1"/>
        <w:snapToGrid w:val="0"/>
        <w:spacing w:before="120"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w:t>
      </w:r>
    </w:p>
    <w:p w14:paraId="0FAB91F0">
      <w:pPr>
        <w:shd w:val="clear" w:color="auto" w:fill="FFFFFF" w:themeFill="background1"/>
        <w:snapToGrid w:val="0"/>
        <w:spacing w:before="120" w:beforeLines="50" w:after="50"/>
        <w:rPr>
          <w:rFonts w:ascii="宋体" w:hAnsi="宋体" w:cs="宋体"/>
          <w:bCs/>
          <w:color w:val="auto"/>
          <w:sz w:val="24"/>
          <w:szCs w:val="20"/>
          <w:highlight w:val="none"/>
        </w:rPr>
      </w:pPr>
    </w:p>
    <w:p w14:paraId="7264A231">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0047F225">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55A71AF3">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35C041BC">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32F95AB5">
      <w:pPr>
        <w:shd w:val="clear" w:color="auto" w:fill="FFFFFF" w:themeFill="background1"/>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5D770937">
      <w:pPr>
        <w:shd w:val="clear" w:color="auto" w:fill="FFFFFF" w:themeFill="background1"/>
        <w:snapToGrid w:val="0"/>
        <w:spacing w:before="120" w:beforeLines="50" w:after="50"/>
        <w:ind w:firstLine="645"/>
        <w:jc w:val="center"/>
        <w:rPr>
          <w:rFonts w:ascii="宋体" w:hAnsi="宋体" w:cs="宋体"/>
          <w:color w:val="auto"/>
          <w:sz w:val="24"/>
          <w:highlight w:val="none"/>
        </w:rPr>
      </w:pPr>
    </w:p>
    <w:p w14:paraId="53D84521">
      <w:pPr>
        <w:shd w:val="clear" w:color="auto" w:fill="FFFFFF" w:themeFill="background1"/>
        <w:snapToGrid w:val="0"/>
        <w:spacing w:before="120" w:beforeLines="50" w:after="50"/>
        <w:ind w:firstLine="645"/>
        <w:jc w:val="center"/>
        <w:rPr>
          <w:rFonts w:ascii="宋体" w:hAnsi="宋体" w:cs="宋体"/>
          <w:color w:val="auto"/>
          <w:sz w:val="24"/>
          <w:highlight w:val="none"/>
        </w:rPr>
      </w:pPr>
    </w:p>
    <w:p w14:paraId="050A10CD">
      <w:pPr>
        <w:shd w:val="clear" w:color="auto" w:fill="FFFFFF" w:themeFill="background1"/>
        <w:snapToGrid w:val="0"/>
        <w:spacing w:before="120" w:beforeLines="50" w:after="50"/>
        <w:ind w:firstLine="645"/>
        <w:jc w:val="center"/>
        <w:rPr>
          <w:rFonts w:ascii="宋体" w:hAnsi="宋体" w:cs="宋体"/>
          <w:color w:val="auto"/>
          <w:sz w:val="24"/>
          <w:highlight w:val="none"/>
        </w:rPr>
      </w:pPr>
    </w:p>
    <w:p w14:paraId="0A0222F1">
      <w:pPr>
        <w:shd w:val="clear" w:color="auto" w:fill="FFFFFF" w:themeFill="background1"/>
        <w:snapToGrid w:val="0"/>
        <w:spacing w:before="120" w:beforeLines="50" w:after="50"/>
        <w:ind w:firstLine="645"/>
        <w:jc w:val="center"/>
        <w:rPr>
          <w:rFonts w:ascii="宋体" w:hAnsi="宋体" w:cs="宋体"/>
          <w:color w:val="auto"/>
          <w:sz w:val="24"/>
          <w:highlight w:val="none"/>
        </w:rPr>
      </w:pPr>
    </w:p>
    <w:p w14:paraId="6E731A89">
      <w:pPr>
        <w:shd w:val="clear" w:color="auto" w:fill="FFFFFF" w:themeFill="background1"/>
        <w:snapToGrid w:val="0"/>
        <w:spacing w:before="120" w:beforeLines="50" w:after="50"/>
        <w:ind w:firstLine="645"/>
        <w:jc w:val="center"/>
        <w:rPr>
          <w:rFonts w:ascii="宋体" w:hAnsi="宋体" w:cs="宋体"/>
          <w:color w:val="auto"/>
          <w:sz w:val="24"/>
          <w:highlight w:val="none"/>
        </w:rPr>
      </w:pPr>
    </w:p>
    <w:p w14:paraId="62A312FA">
      <w:pPr>
        <w:shd w:val="clear" w:color="auto" w:fill="FFFFFF" w:themeFill="background1"/>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1AFA5108">
      <w:pPr>
        <w:shd w:val="clear" w:color="auto" w:fill="FFFFFF" w:themeFill="background1"/>
        <w:snapToGrid w:val="0"/>
        <w:spacing w:before="120" w:beforeLines="50" w:after="50"/>
        <w:ind w:firstLine="645"/>
        <w:jc w:val="center"/>
        <w:rPr>
          <w:rFonts w:ascii="宋体" w:hAnsi="宋体" w:cs="宋体"/>
          <w:color w:val="auto"/>
          <w:sz w:val="24"/>
          <w:szCs w:val="20"/>
          <w:highlight w:val="none"/>
        </w:rPr>
      </w:pPr>
    </w:p>
    <w:p w14:paraId="0F480990">
      <w:pPr>
        <w:shd w:val="clear" w:color="auto" w:fill="FFFFFF" w:themeFill="background1"/>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14:paraId="12475F9B">
      <w:pPr>
        <w:numPr>
          <w:ilvl w:val="0"/>
          <w:numId w:val="6"/>
        </w:numPr>
        <w:shd w:val="clear" w:color="auto" w:fill="FFFFFF" w:themeFill="background1"/>
        <w:snapToGrid w:val="0"/>
        <w:spacing w:before="120" w:beforeLines="50" w:after="50"/>
        <w:ind w:left="142"/>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技术文件目录</w:t>
      </w:r>
    </w:p>
    <w:p w14:paraId="68226B16">
      <w:pPr>
        <w:shd w:val="clear" w:color="auto" w:fill="FFFFFF" w:themeFill="background1"/>
        <w:snapToGrid w:val="0"/>
        <w:spacing w:before="120" w:beforeLines="50" w:after="50"/>
        <w:ind w:left="142"/>
        <w:jc w:val="left"/>
        <w:rPr>
          <w:rFonts w:ascii="宋体" w:hAnsi="宋体" w:cs="宋体"/>
          <w:b/>
          <w:color w:val="auto"/>
          <w:sz w:val="24"/>
          <w:highlight w:val="none"/>
        </w:rPr>
      </w:pPr>
      <w:r>
        <w:rPr>
          <w:rFonts w:hint="eastAsia" w:ascii="宋体" w:hAnsi="宋体" w:cs="宋体"/>
          <w:color w:val="auto"/>
          <w:kern w:val="0"/>
          <w:sz w:val="24"/>
          <w:highlight w:val="none"/>
        </w:rPr>
        <w:t>根据招标文件规定及投标人提供的材料自行编写目录（部分格式后附）。</w:t>
      </w:r>
    </w:p>
    <w:p w14:paraId="21DF6C99">
      <w:pPr>
        <w:shd w:val="clear" w:color="auto" w:fill="FFFFFF" w:themeFill="background1"/>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r>
        <w:rPr>
          <w:rFonts w:hint="eastAsia" w:ascii="宋体" w:hAnsi="宋体" w:cs="宋体"/>
          <w:b/>
          <w:color w:val="auto"/>
          <w:sz w:val="28"/>
          <w:szCs w:val="28"/>
          <w:highlight w:val="none"/>
        </w:rPr>
        <w:t>3. 服务要求偏离表的格式：</w:t>
      </w:r>
    </w:p>
    <w:p w14:paraId="0F471352">
      <w:pPr>
        <w:pStyle w:val="13"/>
        <w:shd w:val="clear" w:color="auto" w:fill="FFFFFF" w:themeFill="background1"/>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服务要求偏离表</w:t>
      </w:r>
    </w:p>
    <w:p w14:paraId="69D64667">
      <w:pPr>
        <w:pStyle w:val="13"/>
        <w:shd w:val="clear" w:color="auto" w:fill="FFFFFF" w:themeFill="background1"/>
        <w:spacing w:line="440" w:lineRule="exact"/>
        <w:ind w:firstLine="420" w:firstLineChars="200"/>
        <w:rPr>
          <w:rFonts w:hAnsi="宋体" w:cs="宋体"/>
          <w:color w:val="auto"/>
          <w:highlight w:val="none"/>
        </w:rPr>
      </w:pPr>
    </w:p>
    <w:p w14:paraId="1AA82864">
      <w:pPr>
        <w:shd w:val="clear" w:color="auto" w:fill="FFFFFF" w:themeFill="background1"/>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59EB03A">
      <w:pPr>
        <w:pStyle w:val="13"/>
        <w:shd w:val="clear" w:color="auto" w:fill="FFFFFF" w:themeFill="background1"/>
        <w:spacing w:line="600" w:lineRule="exact"/>
        <w:rPr>
          <w:rFonts w:hAnsi="宋体" w:cs="宋体"/>
          <w:color w:val="auto"/>
          <w:sz w:val="24"/>
          <w:highlight w:val="none"/>
          <w:u w:val="single"/>
        </w:rPr>
      </w:pPr>
      <w:r>
        <w:rPr>
          <w:rFonts w:hint="eastAsia" w:hAnsi="宋体" w:cs="宋体"/>
          <w:color w:val="auto"/>
          <w:sz w:val="24"/>
          <w:highlight w:val="none"/>
        </w:rPr>
        <w:t>项目编号：</w:t>
      </w:r>
      <w:r>
        <w:rPr>
          <w:rFonts w:hint="eastAsia" w:hAnsi="宋体" w:cs="宋体"/>
          <w:color w:val="auto"/>
          <w:sz w:val="24"/>
          <w:highlight w:val="none"/>
          <w:u w:val="single"/>
        </w:rPr>
        <w:t xml:space="preserve">                 </w:t>
      </w:r>
    </w:p>
    <w:p w14:paraId="1EC6A9C2">
      <w:pPr>
        <w:pStyle w:val="8"/>
        <w:shd w:val="clear" w:color="auto" w:fill="FFFFFF" w:themeFill="background1"/>
        <w:rPr>
          <w:rFonts w:ascii="宋体" w:hAnsi="宋体" w:cs="宋体"/>
          <w:color w:val="auto"/>
          <w:highlight w:val="none"/>
        </w:rPr>
      </w:pPr>
    </w:p>
    <w:p w14:paraId="1BCDF209">
      <w:pPr>
        <w:pStyle w:val="8"/>
        <w:shd w:val="clear" w:color="auto" w:fill="FFFFFF" w:themeFill="background1"/>
        <w:ind w:left="0"/>
        <w:rPr>
          <w:rFonts w:ascii="宋体" w:hAnsi="宋体" w:cs="宋体"/>
          <w:color w:val="auto"/>
          <w:sz w:val="24"/>
          <w:highlight w:val="none"/>
          <w:u w:val="single"/>
        </w:rPr>
      </w:pPr>
      <w:r>
        <w:rPr>
          <w:rFonts w:hint="eastAsia" w:ascii="宋体" w:hAnsi="宋体" w:cs="宋体"/>
          <w:color w:val="auto"/>
          <w:sz w:val="24"/>
          <w:szCs w:val="20"/>
          <w:highlight w:val="none"/>
        </w:rPr>
        <w:t>所投分标</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1F506D94">
      <w:pPr>
        <w:shd w:val="clear" w:color="auto" w:fill="FFFFFF" w:themeFill="background1"/>
        <w:rPr>
          <w:rFonts w:ascii="宋体" w:hAnsi="宋体" w:cs="宋体"/>
          <w:color w:val="auto"/>
          <w:highlight w:val="none"/>
        </w:rPr>
      </w:pPr>
    </w:p>
    <w:tbl>
      <w:tblPr>
        <w:tblStyle w:val="23"/>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133"/>
        <w:gridCol w:w="3769"/>
        <w:gridCol w:w="1168"/>
      </w:tblGrid>
      <w:tr w14:paraId="7E5D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49831A5">
            <w:pPr>
              <w:shd w:val="clear" w:color="auto" w:fill="FFFFFF" w:themeFill="background1"/>
              <w:rPr>
                <w:rFonts w:ascii="宋体" w:hAnsi="宋体" w:cs="宋体"/>
                <w:color w:val="auto"/>
                <w:szCs w:val="21"/>
                <w:highlight w:val="none"/>
              </w:rPr>
            </w:pPr>
            <w:r>
              <w:rPr>
                <w:rFonts w:hint="eastAsia" w:ascii="宋体" w:hAnsi="宋体" w:cs="宋体"/>
                <w:color w:val="auto"/>
                <w:szCs w:val="21"/>
                <w:highlight w:val="none"/>
              </w:rPr>
              <w:t>项号</w:t>
            </w:r>
          </w:p>
        </w:tc>
        <w:tc>
          <w:tcPr>
            <w:tcW w:w="1262" w:type="dxa"/>
            <w:tcBorders>
              <w:top w:val="single" w:color="auto" w:sz="4" w:space="0"/>
              <w:left w:val="single" w:color="auto" w:sz="4" w:space="0"/>
              <w:right w:val="single" w:color="auto" w:sz="4" w:space="0"/>
            </w:tcBorders>
            <w:vAlign w:val="center"/>
          </w:tcPr>
          <w:p w14:paraId="3CF26972">
            <w:pPr>
              <w:shd w:val="clear" w:color="auto" w:fill="FFFFFF" w:themeFill="background1"/>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3133" w:type="dxa"/>
            <w:tcBorders>
              <w:top w:val="single" w:color="auto" w:sz="4" w:space="0"/>
              <w:left w:val="single" w:color="auto" w:sz="4" w:space="0"/>
              <w:bottom w:val="single" w:color="auto" w:sz="4" w:space="0"/>
              <w:right w:val="single" w:color="auto" w:sz="4" w:space="0"/>
            </w:tcBorders>
            <w:vAlign w:val="center"/>
          </w:tcPr>
          <w:p w14:paraId="0E6E2CED">
            <w:pPr>
              <w:shd w:val="clear" w:color="auto" w:fill="FFFFFF" w:themeFill="background1"/>
              <w:jc w:val="center"/>
              <w:rPr>
                <w:rFonts w:ascii="宋体" w:hAnsi="宋体" w:cs="宋体"/>
                <w:color w:val="auto"/>
                <w:szCs w:val="21"/>
                <w:highlight w:val="none"/>
              </w:rPr>
            </w:pPr>
            <w:r>
              <w:rPr>
                <w:rFonts w:hint="eastAsia" w:ascii="宋体" w:hAnsi="宋体" w:cs="宋体"/>
                <w:color w:val="auto"/>
                <w:szCs w:val="21"/>
                <w:highlight w:val="none"/>
              </w:rPr>
              <w:t>招标文件采购需求中的服务内容</w:t>
            </w:r>
          </w:p>
        </w:tc>
        <w:tc>
          <w:tcPr>
            <w:tcW w:w="3769" w:type="dxa"/>
            <w:tcBorders>
              <w:top w:val="single" w:color="auto" w:sz="4" w:space="0"/>
              <w:left w:val="single" w:color="auto" w:sz="4" w:space="0"/>
              <w:right w:val="single" w:color="auto" w:sz="4" w:space="0"/>
            </w:tcBorders>
            <w:vAlign w:val="center"/>
          </w:tcPr>
          <w:p w14:paraId="491C393C">
            <w:pPr>
              <w:shd w:val="clear" w:color="auto" w:fill="FFFFFF" w:themeFill="background1"/>
              <w:jc w:val="center"/>
              <w:rPr>
                <w:rFonts w:ascii="宋体" w:hAnsi="宋体" w:cs="宋体"/>
                <w:color w:val="auto"/>
                <w:szCs w:val="21"/>
                <w:highlight w:val="none"/>
              </w:rPr>
            </w:pPr>
            <w:r>
              <w:rPr>
                <w:rFonts w:hint="eastAsia" w:ascii="宋体" w:hAnsi="宋体" w:cs="宋体"/>
                <w:color w:val="auto"/>
                <w:szCs w:val="21"/>
                <w:highlight w:val="none"/>
              </w:rPr>
              <w:t>投标文件响应的服务内容</w:t>
            </w:r>
          </w:p>
        </w:tc>
        <w:tc>
          <w:tcPr>
            <w:tcW w:w="1168" w:type="dxa"/>
            <w:tcBorders>
              <w:top w:val="single" w:color="auto" w:sz="4" w:space="0"/>
              <w:left w:val="single" w:color="auto" w:sz="4" w:space="0"/>
              <w:bottom w:val="single" w:color="auto" w:sz="4" w:space="0"/>
              <w:right w:val="single" w:color="auto" w:sz="4" w:space="0"/>
            </w:tcBorders>
            <w:vAlign w:val="center"/>
          </w:tcPr>
          <w:p w14:paraId="5C8D464E">
            <w:pPr>
              <w:shd w:val="clear" w:color="auto" w:fill="FFFFFF" w:themeFill="background1"/>
              <w:rPr>
                <w:rFonts w:ascii="宋体" w:hAnsi="宋体" w:cs="宋体"/>
                <w:color w:val="auto"/>
                <w:szCs w:val="21"/>
                <w:highlight w:val="none"/>
              </w:rPr>
            </w:pPr>
            <w:r>
              <w:rPr>
                <w:rFonts w:hint="eastAsia" w:ascii="宋体" w:hAnsi="宋体" w:cs="宋体"/>
                <w:color w:val="auto"/>
                <w:szCs w:val="21"/>
                <w:highlight w:val="none"/>
              </w:rPr>
              <w:t>偏离说明</w:t>
            </w:r>
          </w:p>
        </w:tc>
      </w:tr>
      <w:tr w14:paraId="2C85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66FC3A4C">
            <w:pPr>
              <w:shd w:val="clear" w:color="auto" w:fill="FFFFFF" w:themeFill="background1"/>
              <w:rPr>
                <w:rFonts w:ascii="宋体" w:hAnsi="宋体" w:cs="宋体"/>
                <w:color w:val="auto"/>
                <w:szCs w:val="21"/>
                <w:highlight w:val="none"/>
              </w:rPr>
            </w:pPr>
            <w:r>
              <w:rPr>
                <w:rFonts w:hint="eastAsia" w:ascii="宋体" w:hAnsi="宋体" w:cs="宋体"/>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vAlign w:val="center"/>
          </w:tcPr>
          <w:p w14:paraId="76A0A8EA">
            <w:pPr>
              <w:shd w:val="clear" w:color="auto" w:fill="FFFFFF" w:themeFill="background1"/>
              <w:rPr>
                <w:rFonts w:ascii="宋体" w:hAnsi="宋体" w:cs="宋体"/>
                <w:color w:val="auto"/>
                <w:szCs w:val="21"/>
                <w:highlight w:val="none"/>
              </w:rPr>
            </w:pPr>
          </w:p>
        </w:tc>
        <w:tc>
          <w:tcPr>
            <w:tcW w:w="3133" w:type="dxa"/>
            <w:tcBorders>
              <w:top w:val="single" w:color="auto" w:sz="4" w:space="0"/>
              <w:left w:val="single" w:color="auto" w:sz="4" w:space="0"/>
              <w:bottom w:val="single" w:color="auto" w:sz="4" w:space="0"/>
              <w:right w:val="single" w:color="auto" w:sz="4" w:space="0"/>
            </w:tcBorders>
            <w:vAlign w:val="center"/>
          </w:tcPr>
          <w:p w14:paraId="00101D10">
            <w:pPr>
              <w:shd w:val="clear" w:color="auto" w:fill="FFFFFF" w:themeFill="background1"/>
              <w:rPr>
                <w:rFonts w:ascii="宋体" w:hAnsi="宋体" w:cs="宋体"/>
                <w:color w:val="auto"/>
                <w:szCs w:val="21"/>
                <w:highlight w:val="none"/>
              </w:rPr>
            </w:pPr>
          </w:p>
        </w:tc>
        <w:tc>
          <w:tcPr>
            <w:tcW w:w="3769" w:type="dxa"/>
            <w:tcBorders>
              <w:top w:val="single" w:color="auto" w:sz="4" w:space="0"/>
              <w:left w:val="single" w:color="auto" w:sz="4" w:space="0"/>
              <w:bottom w:val="single" w:color="auto" w:sz="4" w:space="0"/>
              <w:right w:val="single" w:color="auto" w:sz="4" w:space="0"/>
            </w:tcBorders>
            <w:vAlign w:val="center"/>
          </w:tcPr>
          <w:p w14:paraId="05C305F9">
            <w:pPr>
              <w:shd w:val="clear" w:color="auto" w:fill="FFFFFF" w:themeFill="background1"/>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AF0FF9B">
            <w:pPr>
              <w:shd w:val="clear" w:color="auto" w:fill="FFFFFF" w:themeFill="background1"/>
              <w:rPr>
                <w:rFonts w:ascii="宋体" w:hAnsi="宋体" w:cs="宋体"/>
                <w:color w:val="auto"/>
                <w:szCs w:val="21"/>
                <w:highlight w:val="none"/>
              </w:rPr>
            </w:pPr>
          </w:p>
        </w:tc>
      </w:tr>
      <w:tr w14:paraId="6734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68B02D90">
            <w:pPr>
              <w:shd w:val="clear" w:color="auto" w:fill="FFFFFF" w:themeFill="background1"/>
              <w:rPr>
                <w:rFonts w:ascii="宋体" w:hAnsi="宋体" w:cs="宋体"/>
                <w:color w:val="auto"/>
                <w:szCs w:val="21"/>
                <w:highlight w:val="none"/>
              </w:rPr>
            </w:pPr>
            <w:r>
              <w:rPr>
                <w:rFonts w:hint="eastAsia" w:ascii="宋体" w:hAnsi="宋体" w:cs="宋体"/>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vAlign w:val="center"/>
          </w:tcPr>
          <w:p w14:paraId="12B7FDD8">
            <w:pPr>
              <w:shd w:val="clear" w:color="auto" w:fill="FFFFFF" w:themeFill="background1"/>
              <w:rPr>
                <w:rFonts w:ascii="宋体" w:hAnsi="宋体" w:cs="宋体"/>
                <w:color w:val="auto"/>
                <w:szCs w:val="21"/>
                <w:highlight w:val="none"/>
              </w:rPr>
            </w:pPr>
          </w:p>
        </w:tc>
        <w:tc>
          <w:tcPr>
            <w:tcW w:w="3133" w:type="dxa"/>
            <w:tcBorders>
              <w:top w:val="single" w:color="auto" w:sz="4" w:space="0"/>
              <w:left w:val="single" w:color="auto" w:sz="4" w:space="0"/>
              <w:bottom w:val="single" w:color="auto" w:sz="4" w:space="0"/>
              <w:right w:val="single" w:color="auto" w:sz="4" w:space="0"/>
            </w:tcBorders>
            <w:vAlign w:val="center"/>
          </w:tcPr>
          <w:p w14:paraId="66487C1C">
            <w:pPr>
              <w:shd w:val="clear" w:color="auto" w:fill="FFFFFF" w:themeFill="background1"/>
              <w:rPr>
                <w:rFonts w:ascii="宋体" w:hAnsi="宋体" w:cs="宋体"/>
                <w:color w:val="auto"/>
                <w:szCs w:val="21"/>
                <w:highlight w:val="none"/>
              </w:rPr>
            </w:pPr>
          </w:p>
        </w:tc>
        <w:tc>
          <w:tcPr>
            <w:tcW w:w="3769" w:type="dxa"/>
            <w:tcBorders>
              <w:top w:val="single" w:color="auto" w:sz="4" w:space="0"/>
              <w:left w:val="single" w:color="auto" w:sz="4" w:space="0"/>
              <w:bottom w:val="single" w:color="auto" w:sz="4" w:space="0"/>
              <w:right w:val="single" w:color="auto" w:sz="4" w:space="0"/>
            </w:tcBorders>
            <w:vAlign w:val="center"/>
          </w:tcPr>
          <w:p w14:paraId="667FE5CD">
            <w:pPr>
              <w:shd w:val="clear" w:color="auto" w:fill="FFFFFF" w:themeFill="background1"/>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42902835">
            <w:pPr>
              <w:shd w:val="clear" w:color="auto" w:fill="FFFFFF" w:themeFill="background1"/>
              <w:rPr>
                <w:rFonts w:ascii="宋体" w:hAnsi="宋体" w:cs="宋体"/>
                <w:color w:val="auto"/>
                <w:szCs w:val="21"/>
                <w:highlight w:val="none"/>
              </w:rPr>
            </w:pPr>
          </w:p>
        </w:tc>
      </w:tr>
      <w:tr w14:paraId="2246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69A16424">
            <w:pPr>
              <w:shd w:val="clear" w:color="auto" w:fill="FFFFFF" w:themeFill="background1"/>
              <w:rPr>
                <w:rFonts w:ascii="宋体" w:hAnsi="宋体" w:cs="宋体"/>
                <w:color w:val="auto"/>
                <w:szCs w:val="21"/>
                <w:highlight w:val="none"/>
              </w:rPr>
            </w:pPr>
            <w:r>
              <w:rPr>
                <w:rFonts w:hint="eastAsia" w:ascii="宋体" w:hAnsi="宋体" w:cs="宋体"/>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vAlign w:val="center"/>
          </w:tcPr>
          <w:p w14:paraId="616E7014">
            <w:pPr>
              <w:shd w:val="clear" w:color="auto" w:fill="FFFFFF" w:themeFill="background1"/>
              <w:rPr>
                <w:rFonts w:ascii="宋体" w:hAnsi="宋体" w:cs="宋体"/>
                <w:color w:val="auto"/>
                <w:szCs w:val="21"/>
                <w:highlight w:val="none"/>
              </w:rPr>
            </w:pPr>
          </w:p>
        </w:tc>
        <w:tc>
          <w:tcPr>
            <w:tcW w:w="3133" w:type="dxa"/>
            <w:tcBorders>
              <w:top w:val="single" w:color="auto" w:sz="4" w:space="0"/>
              <w:left w:val="single" w:color="auto" w:sz="4" w:space="0"/>
              <w:bottom w:val="single" w:color="auto" w:sz="4" w:space="0"/>
              <w:right w:val="single" w:color="auto" w:sz="4" w:space="0"/>
            </w:tcBorders>
            <w:vAlign w:val="center"/>
          </w:tcPr>
          <w:p w14:paraId="66F4A77C">
            <w:pPr>
              <w:shd w:val="clear" w:color="auto" w:fill="FFFFFF" w:themeFill="background1"/>
              <w:rPr>
                <w:rFonts w:ascii="宋体" w:hAnsi="宋体" w:cs="宋体"/>
                <w:color w:val="auto"/>
                <w:szCs w:val="21"/>
                <w:highlight w:val="none"/>
              </w:rPr>
            </w:pPr>
          </w:p>
        </w:tc>
        <w:tc>
          <w:tcPr>
            <w:tcW w:w="3769" w:type="dxa"/>
            <w:tcBorders>
              <w:top w:val="single" w:color="auto" w:sz="4" w:space="0"/>
              <w:left w:val="single" w:color="auto" w:sz="4" w:space="0"/>
              <w:bottom w:val="single" w:color="auto" w:sz="4" w:space="0"/>
              <w:right w:val="single" w:color="auto" w:sz="4" w:space="0"/>
            </w:tcBorders>
            <w:vAlign w:val="center"/>
          </w:tcPr>
          <w:p w14:paraId="4457CEED">
            <w:pPr>
              <w:shd w:val="clear" w:color="auto" w:fill="FFFFFF" w:themeFill="background1"/>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3E147E98">
            <w:pPr>
              <w:shd w:val="clear" w:color="auto" w:fill="FFFFFF" w:themeFill="background1"/>
              <w:rPr>
                <w:rFonts w:ascii="宋体" w:hAnsi="宋体" w:cs="宋体"/>
                <w:color w:val="auto"/>
                <w:szCs w:val="21"/>
                <w:highlight w:val="none"/>
              </w:rPr>
            </w:pPr>
          </w:p>
        </w:tc>
      </w:tr>
    </w:tbl>
    <w:p w14:paraId="6A17B452">
      <w:pPr>
        <w:pStyle w:val="13"/>
        <w:shd w:val="clear" w:color="auto" w:fill="FFFFFF" w:themeFill="background1"/>
        <w:spacing w:line="360" w:lineRule="auto"/>
        <w:rPr>
          <w:rFonts w:hAnsi="宋体" w:cs="宋体"/>
          <w:color w:val="auto"/>
          <w:szCs w:val="21"/>
          <w:highlight w:val="none"/>
        </w:rPr>
      </w:pPr>
    </w:p>
    <w:p w14:paraId="18F912C0">
      <w:pPr>
        <w:pStyle w:val="13"/>
        <w:shd w:val="clear" w:color="auto" w:fill="FFFFFF" w:themeFill="background1"/>
        <w:spacing w:line="360" w:lineRule="auto"/>
        <w:ind w:firstLine="420" w:firstLineChars="200"/>
        <w:rPr>
          <w:rFonts w:hAnsi="宋体" w:cs="宋体"/>
          <w:color w:val="auto"/>
          <w:szCs w:val="21"/>
          <w:highlight w:val="none"/>
        </w:rPr>
      </w:pPr>
      <w:r>
        <w:rPr>
          <w:rFonts w:hint="eastAsia" w:hAnsi="宋体" w:cs="宋体"/>
          <w:color w:val="auto"/>
          <w:szCs w:val="21"/>
          <w:highlight w:val="none"/>
        </w:rPr>
        <w:t>注：</w:t>
      </w:r>
    </w:p>
    <w:p w14:paraId="0C2126C1">
      <w:pPr>
        <w:pStyle w:val="13"/>
        <w:shd w:val="clear" w:color="auto" w:fill="FFFFFF" w:themeFill="background1"/>
        <w:spacing w:line="360" w:lineRule="auto"/>
        <w:ind w:firstLine="420" w:firstLineChars="200"/>
        <w:rPr>
          <w:rFonts w:hAnsi="宋体" w:cs="宋体"/>
          <w:color w:val="auto"/>
          <w:szCs w:val="21"/>
          <w:highlight w:val="none"/>
        </w:rPr>
      </w:pPr>
      <w:r>
        <w:rPr>
          <w:rFonts w:hint="eastAsia" w:hAnsi="宋体" w:cs="宋体"/>
          <w:color w:val="auto"/>
          <w:szCs w:val="21"/>
          <w:highlight w:val="none"/>
        </w:rPr>
        <w:t>1.表格内容均需按要求填写并加盖投标人公章。</w:t>
      </w:r>
    </w:p>
    <w:p w14:paraId="5E63D6B0">
      <w:pPr>
        <w:pStyle w:val="13"/>
        <w:shd w:val="clear" w:color="auto" w:fill="FFFFFF" w:themeFill="background1"/>
        <w:spacing w:line="360" w:lineRule="auto"/>
        <w:ind w:firstLine="420" w:firstLineChars="200"/>
        <w:rPr>
          <w:rFonts w:hAnsi="宋体" w:cs="宋体"/>
          <w:color w:val="auto"/>
          <w:szCs w:val="21"/>
          <w:highlight w:val="none"/>
        </w:rPr>
      </w:pPr>
      <w:r>
        <w:rPr>
          <w:rFonts w:hint="eastAsia" w:hAnsi="宋体" w:cs="宋体"/>
          <w:bCs/>
          <w:color w:val="auto"/>
          <w:szCs w:val="21"/>
          <w:highlight w:val="none"/>
        </w:rPr>
        <w:t>2.</w:t>
      </w:r>
      <w:r>
        <w:rPr>
          <w:rFonts w:hint="eastAsia" w:hAnsi="宋体" w:cs="宋体"/>
          <w:color w:val="auto"/>
          <w:szCs w:val="21"/>
          <w:highlight w:val="none"/>
        </w:rPr>
        <w:t>请根据所投服务内容，逐条对应本项目招标文件“第二章 采购需求”中“服务要求”的服务内容作出明确响应，并作出偏离说明。“偏离说明”一栏应当选择“正偏离”或“负偏离”或“无偏离”进行填写。</w:t>
      </w:r>
    </w:p>
    <w:p w14:paraId="0CD225B7">
      <w:pPr>
        <w:pStyle w:val="13"/>
        <w:shd w:val="clear" w:color="auto" w:fill="FFFFFF" w:themeFill="background1"/>
        <w:spacing w:line="360" w:lineRule="auto"/>
        <w:ind w:firstLine="420" w:firstLineChars="200"/>
        <w:rPr>
          <w:rFonts w:hAnsi="宋体" w:cs="宋体"/>
          <w:color w:val="auto"/>
          <w:szCs w:val="21"/>
          <w:highlight w:val="none"/>
        </w:rPr>
      </w:pPr>
      <w:r>
        <w:rPr>
          <w:rFonts w:hint="eastAsia" w:hAnsi="宋体" w:cs="宋体"/>
          <w:bCs/>
          <w:color w:val="auto"/>
          <w:szCs w:val="21"/>
          <w:highlight w:val="none"/>
        </w:rPr>
        <w:t>3.当投标文件的服务内容低于招标文件要求时，投标人应当如实写明“负偏离”。</w:t>
      </w:r>
    </w:p>
    <w:p w14:paraId="3711F4DE">
      <w:pPr>
        <w:pStyle w:val="8"/>
        <w:shd w:val="clear" w:color="auto" w:fill="FFFFFF" w:themeFill="background1"/>
        <w:rPr>
          <w:rFonts w:ascii="宋体" w:hAnsi="宋体" w:cs="宋体"/>
          <w:color w:val="auto"/>
          <w:szCs w:val="21"/>
          <w:highlight w:val="none"/>
        </w:rPr>
      </w:pPr>
    </w:p>
    <w:p w14:paraId="7CCC542F">
      <w:pPr>
        <w:shd w:val="clear" w:color="auto" w:fill="FFFFFF" w:themeFill="background1"/>
        <w:rPr>
          <w:rFonts w:ascii="宋体" w:hAnsi="宋体" w:cs="宋体"/>
          <w:color w:val="auto"/>
          <w:szCs w:val="21"/>
          <w:highlight w:val="none"/>
        </w:rPr>
      </w:pPr>
    </w:p>
    <w:p w14:paraId="4E5CFD39">
      <w:pPr>
        <w:shd w:val="clear" w:color="auto" w:fill="FFFFFF" w:themeFill="background1"/>
        <w:snapToGrid w:val="0"/>
        <w:spacing w:line="360" w:lineRule="auto"/>
        <w:ind w:firstLine="5640" w:firstLineChars="2350"/>
        <w:rPr>
          <w:rFonts w:ascii="宋体" w:hAnsi="宋体" w:cs="宋体"/>
          <w:color w:val="auto"/>
          <w:kern w:val="0"/>
          <w:sz w:val="24"/>
          <w:highlight w:val="none"/>
          <w:lang w:val="zh-CN"/>
        </w:rPr>
      </w:pPr>
    </w:p>
    <w:p w14:paraId="67271486">
      <w:pPr>
        <w:shd w:val="clear" w:color="auto" w:fill="FFFFFF" w:themeFill="background1"/>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19681AED">
      <w:pPr>
        <w:shd w:val="clear" w:color="auto" w:fill="FFFFFF" w:themeFill="background1"/>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F160108">
      <w:pPr>
        <w:widowControl/>
        <w:shd w:val="clear" w:color="auto" w:fill="FFFFFF" w:themeFill="background1"/>
        <w:jc w:val="left"/>
        <w:rPr>
          <w:rFonts w:ascii="宋体" w:hAnsi="宋体" w:cs="宋体"/>
          <w:color w:val="auto"/>
          <w:sz w:val="30"/>
          <w:szCs w:val="20"/>
          <w:highlight w:val="none"/>
        </w:rPr>
        <w:sectPr>
          <w:pgSz w:w="11905" w:h="16838"/>
          <w:pgMar w:top="1134" w:right="1134" w:bottom="1134" w:left="1134" w:header="850" w:footer="850" w:gutter="0"/>
          <w:cols w:space="0" w:num="1"/>
          <w:titlePg/>
          <w:docGrid w:linePitch="331" w:charSpace="0"/>
        </w:sectPr>
      </w:pPr>
    </w:p>
    <w:p w14:paraId="4CFF59F9">
      <w:pPr>
        <w:pStyle w:val="18"/>
        <w:shd w:val="clear" w:color="auto" w:fill="FFFFFF" w:themeFill="background1"/>
        <w:snapToGrid w:val="0"/>
        <w:ind w:left="562" w:hanging="562"/>
        <w:rPr>
          <w:rFonts w:ascii="宋体" w:hAnsi="宋体" w:cs="宋体"/>
          <w:i/>
          <w:iCs/>
          <w:color w:val="auto"/>
          <w:sz w:val="24"/>
          <w:highlight w:val="none"/>
        </w:rPr>
      </w:pPr>
      <w:r>
        <w:rPr>
          <w:rFonts w:hint="eastAsia" w:ascii="宋体" w:hAnsi="宋体" w:cs="宋体"/>
          <w:b/>
          <w:color w:val="auto"/>
          <w:szCs w:val="28"/>
          <w:highlight w:val="none"/>
        </w:rPr>
        <w:t>4. 项目实施人员一览表的格式</w:t>
      </w:r>
      <w:r>
        <w:rPr>
          <w:rFonts w:hint="eastAsia" w:ascii="宋体" w:hAnsi="宋体" w:cs="宋体"/>
          <w:b/>
          <w:bCs/>
          <w:color w:val="auto"/>
          <w:sz w:val="30"/>
          <w:szCs w:val="30"/>
          <w:highlight w:val="none"/>
        </w:rPr>
        <w:t>：</w:t>
      </w:r>
    </w:p>
    <w:p w14:paraId="3672D9DF">
      <w:pPr>
        <w:shd w:val="clear" w:color="auto" w:fill="FFFFFF" w:themeFill="background1"/>
        <w:snapToGrid w:val="0"/>
        <w:spacing w:before="120" w:beforeLines="50" w:after="50"/>
        <w:ind w:left="142"/>
        <w:jc w:val="left"/>
        <w:rPr>
          <w:rFonts w:ascii="宋体" w:hAnsi="宋体"/>
          <w:b/>
          <w:color w:val="auto"/>
          <w:sz w:val="32"/>
          <w:szCs w:val="32"/>
          <w:highlight w:val="none"/>
        </w:rPr>
      </w:pPr>
    </w:p>
    <w:p w14:paraId="4D83216A">
      <w:pPr>
        <w:shd w:val="clear" w:color="auto" w:fill="FFFFFF" w:themeFill="background1"/>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r>
        <w:rPr>
          <w:rFonts w:hint="eastAsia" w:ascii="宋体" w:hAnsi="宋体"/>
          <w:b/>
          <w:i/>
          <w:iCs/>
          <w:color w:val="auto"/>
          <w:sz w:val="32"/>
          <w:szCs w:val="32"/>
          <w:highlight w:val="none"/>
        </w:rPr>
        <w:t>（如有要求）</w:t>
      </w:r>
    </w:p>
    <w:p w14:paraId="1FB76DC8">
      <w:pPr>
        <w:shd w:val="clear" w:color="auto" w:fill="FFFFFF" w:themeFill="background1"/>
        <w:spacing w:line="360" w:lineRule="auto"/>
        <w:jc w:val="center"/>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2BA9F0DA">
      <w:pPr>
        <w:pStyle w:val="13"/>
        <w:shd w:val="clear" w:color="auto" w:fill="FFFFFF" w:themeFill="background1"/>
        <w:rPr>
          <w:color w:val="auto"/>
          <w:sz w:val="24"/>
          <w:szCs w:val="24"/>
          <w:highlight w:val="none"/>
        </w:rPr>
      </w:pPr>
    </w:p>
    <w:p w14:paraId="578EC5F2">
      <w:pPr>
        <w:pStyle w:val="13"/>
        <w:shd w:val="clear" w:color="auto" w:fill="FFFFFF" w:themeFill="background1"/>
        <w:rPr>
          <w:color w:val="auto"/>
          <w:sz w:val="24"/>
          <w:szCs w:val="24"/>
          <w:highlight w:val="none"/>
        </w:rPr>
      </w:pPr>
      <w:r>
        <w:rPr>
          <w:rFonts w:hint="eastAsia"/>
          <w:color w:val="auto"/>
          <w:sz w:val="24"/>
          <w:szCs w:val="24"/>
          <w:highlight w:val="none"/>
        </w:rPr>
        <w:t>所投分标（此处有分标时填写具体分标号，无分标时填写“无”）：</w:t>
      </w:r>
    </w:p>
    <w:p w14:paraId="0CABAA96">
      <w:pPr>
        <w:keepNext/>
        <w:shd w:val="clear" w:color="auto" w:fill="FFFFFF" w:themeFill="background1"/>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附表A：本项目的项目经理情况表</w:t>
      </w:r>
    </w:p>
    <w:tbl>
      <w:tblPr>
        <w:tblStyle w:val="23"/>
        <w:tblW w:w="8755" w:type="dxa"/>
        <w:tblInd w:w="116" w:type="dxa"/>
        <w:tblLayout w:type="fixed"/>
        <w:tblCellMar>
          <w:top w:w="0" w:type="dxa"/>
          <w:left w:w="108" w:type="dxa"/>
          <w:bottom w:w="0" w:type="dxa"/>
          <w:right w:w="108" w:type="dxa"/>
        </w:tblCellMar>
      </w:tblPr>
      <w:tblGrid>
        <w:gridCol w:w="2061"/>
        <w:gridCol w:w="1287"/>
        <w:gridCol w:w="1260"/>
        <w:gridCol w:w="4147"/>
      </w:tblGrid>
      <w:tr w14:paraId="11775C9D">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914B2D6">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7FC1BEF">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BCE7E33">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0649732B">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投标截止时间前三年业绩及承担的主要工作情况，曾担任项目经理的项目应列明细</w:t>
            </w:r>
          </w:p>
        </w:tc>
      </w:tr>
      <w:tr w14:paraId="3FBDEC4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72115F1">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053D475">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1098EA1F">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69A83912">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r>
      <w:tr w14:paraId="2D874563">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513C2AC">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C33C6EC">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74D9A2D6">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1FF7132">
            <w:pPr>
              <w:widowControl/>
              <w:shd w:val="clear" w:color="auto" w:fill="FFFFFF" w:themeFill="background1"/>
              <w:jc w:val="left"/>
              <w:rPr>
                <w:rFonts w:ascii="仿宋_GB2312" w:hAnsi="仿宋" w:eastAsia="仿宋_GB2312" w:cs="仿宋_GB2312"/>
                <w:color w:val="auto"/>
                <w:sz w:val="24"/>
                <w:highlight w:val="none"/>
              </w:rPr>
            </w:pPr>
          </w:p>
        </w:tc>
      </w:tr>
      <w:tr w14:paraId="41BBFBB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A12F7A4">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B79E2BA">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3028B90F">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FFE8561">
            <w:pPr>
              <w:widowControl/>
              <w:shd w:val="clear" w:color="auto" w:fill="FFFFFF" w:themeFill="background1"/>
              <w:jc w:val="left"/>
              <w:rPr>
                <w:rFonts w:ascii="仿宋_GB2312" w:hAnsi="仿宋" w:eastAsia="仿宋_GB2312" w:cs="仿宋_GB2312"/>
                <w:color w:val="auto"/>
                <w:sz w:val="24"/>
                <w:highlight w:val="none"/>
              </w:rPr>
            </w:pPr>
          </w:p>
        </w:tc>
      </w:tr>
      <w:tr w14:paraId="63170B2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F326C5C">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058211C">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64479060">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C61CB01">
            <w:pPr>
              <w:widowControl/>
              <w:shd w:val="clear" w:color="auto" w:fill="FFFFFF" w:themeFill="background1"/>
              <w:jc w:val="left"/>
              <w:rPr>
                <w:rFonts w:ascii="仿宋_GB2312" w:hAnsi="仿宋" w:eastAsia="仿宋_GB2312" w:cs="仿宋_GB2312"/>
                <w:color w:val="auto"/>
                <w:sz w:val="24"/>
                <w:highlight w:val="none"/>
              </w:rPr>
            </w:pPr>
          </w:p>
        </w:tc>
      </w:tr>
      <w:tr w14:paraId="1059ED32">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06F1517">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EF4EDFC">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3319E794">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BDB8F08">
            <w:pPr>
              <w:widowControl/>
              <w:shd w:val="clear" w:color="auto" w:fill="FFFFFF" w:themeFill="background1"/>
              <w:jc w:val="left"/>
              <w:rPr>
                <w:rFonts w:ascii="仿宋_GB2312" w:hAnsi="仿宋" w:eastAsia="仿宋_GB2312" w:cs="仿宋_GB2312"/>
                <w:color w:val="auto"/>
                <w:sz w:val="24"/>
                <w:highlight w:val="none"/>
              </w:rPr>
            </w:pPr>
          </w:p>
        </w:tc>
      </w:tr>
      <w:tr w14:paraId="2D26BB50">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4365F0F">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A498F64">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0C40AEFE">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342A8C5">
            <w:pPr>
              <w:widowControl/>
              <w:shd w:val="clear" w:color="auto" w:fill="FFFFFF" w:themeFill="background1"/>
              <w:jc w:val="left"/>
              <w:rPr>
                <w:rFonts w:ascii="仿宋_GB2312" w:hAnsi="仿宋" w:eastAsia="仿宋_GB2312" w:cs="仿宋_GB2312"/>
                <w:color w:val="auto"/>
                <w:sz w:val="24"/>
                <w:highlight w:val="none"/>
              </w:rPr>
            </w:pPr>
          </w:p>
        </w:tc>
      </w:tr>
      <w:tr w14:paraId="1FF6D0C4">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E5921CE">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B1C5C52">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773E532">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C0EFAE7">
            <w:pPr>
              <w:widowControl/>
              <w:shd w:val="clear" w:color="auto" w:fill="FFFFFF" w:themeFill="background1"/>
              <w:jc w:val="left"/>
              <w:rPr>
                <w:rFonts w:ascii="仿宋_GB2312" w:hAnsi="仿宋" w:eastAsia="仿宋_GB2312" w:cs="仿宋_GB2312"/>
                <w:color w:val="auto"/>
                <w:sz w:val="24"/>
                <w:highlight w:val="none"/>
              </w:rPr>
            </w:pPr>
          </w:p>
        </w:tc>
      </w:tr>
      <w:tr w14:paraId="2CE5BF85">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BDD02DD">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CEDC23C">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78119627">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62CC583">
            <w:pPr>
              <w:widowControl/>
              <w:shd w:val="clear" w:color="auto" w:fill="FFFFFF" w:themeFill="background1"/>
              <w:jc w:val="left"/>
              <w:rPr>
                <w:rFonts w:ascii="仿宋_GB2312" w:hAnsi="仿宋" w:eastAsia="仿宋_GB2312" w:cs="仿宋_GB2312"/>
                <w:color w:val="auto"/>
                <w:sz w:val="24"/>
                <w:highlight w:val="none"/>
              </w:rPr>
            </w:pPr>
          </w:p>
        </w:tc>
      </w:tr>
      <w:tr w14:paraId="3C1D926B">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EFFD3AA">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B93C25A">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1BE88B26">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C2D96CE">
            <w:pPr>
              <w:widowControl/>
              <w:shd w:val="clear" w:color="auto" w:fill="FFFFFF" w:themeFill="background1"/>
              <w:jc w:val="left"/>
              <w:rPr>
                <w:rFonts w:ascii="仿宋_GB2312" w:hAnsi="仿宋" w:eastAsia="仿宋_GB2312" w:cs="仿宋_GB2312"/>
                <w:color w:val="auto"/>
                <w:sz w:val="24"/>
                <w:highlight w:val="none"/>
              </w:rPr>
            </w:pPr>
          </w:p>
        </w:tc>
      </w:tr>
    </w:tbl>
    <w:p w14:paraId="4AF747B4">
      <w:pPr>
        <w:shd w:val="clear" w:color="auto" w:fill="FFFFFF" w:themeFill="background1"/>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注：投标人可参照上述的格式自行编制，并注明所在投标技术文件页码。</w:t>
      </w:r>
    </w:p>
    <w:p w14:paraId="4AE23315">
      <w:pPr>
        <w:shd w:val="clear" w:color="auto" w:fill="FFFFFF" w:themeFill="background1"/>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（参照此格式自制）</w:t>
      </w:r>
    </w:p>
    <w:tbl>
      <w:tblPr>
        <w:tblStyle w:val="2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BE0260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A535457">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3F6D44E">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7BF6CA3">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2783864">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87D5F34">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14:paraId="2B982BF4">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C943315">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14:paraId="71169010">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9DC12C9">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14:paraId="14686EC8">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322F2D7">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D2A14BF">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8652AB6">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14:paraId="22F6EA71">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E152294">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221E5E7">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384FC11">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284CFC2">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4758B7E">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8552A0D">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19A20C3">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EB85136">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CF6BDD3">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715AA3B">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r>
      <w:tr w14:paraId="19BCEC99">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4C1C919">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CAA1717">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CE8CB2A">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AD88A73">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9B97E4E">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F2A3656">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87E4356">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CBBA6EC">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155E484">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2454CA5">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r>
    </w:tbl>
    <w:p w14:paraId="00D5BD73">
      <w:pPr>
        <w:shd w:val="clear" w:color="auto" w:fill="FFFFFF" w:themeFill="background1"/>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注：投标人可参照上述的格式自行编制，并注明所在投标技术文件页码。</w:t>
      </w:r>
    </w:p>
    <w:p w14:paraId="6BE7D73B">
      <w:pPr>
        <w:shd w:val="clear" w:color="auto" w:fill="FFFFFF" w:themeFill="background1"/>
        <w:snapToGrid w:val="0"/>
        <w:spacing w:line="360" w:lineRule="auto"/>
        <w:ind w:firstLine="4320" w:firstLineChars="1800"/>
        <w:rPr>
          <w:rFonts w:ascii="仿宋_GB2312" w:hAnsi="仿宋" w:eastAsia="仿宋_GB2312" w:cs="仿宋_GB2312"/>
          <w:color w:val="auto"/>
          <w:kern w:val="0"/>
          <w:sz w:val="24"/>
          <w:highlight w:val="none"/>
          <w:lang w:val="zh-CN"/>
        </w:rPr>
      </w:pPr>
    </w:p>
    <w:p w14:paraId="244636B5">
      <w:pPr>
        <w:shd w:val="clear" w:color="auto" w:fill="FFFFFF" w:themeFill="background1"/>
        <w:snapToGrid w:val="0"/>
        <w:spacing w:line="360" w:lineRule="auto"/>
        <w:ind w:firstLine="4320" w:firstLineChars="1800"/>
        <w:rPr>
          <w:rFonts w:ascii="仿宋_GB2312" w:hAnsi="仿宋" w:eastAsia="仿宋_GB2312" w:cs="仿宋_GB2312"/>
          <w:color w:val="auto"/>
          <w:kern w:val="0"/>
          <w:sz w:val="24"/>
          <w:highlight w:val="none"/>
          <w:lang w:val="zh-CN"/>
        </w:rPr>
      </w:pPr>
    </w:p>
    <w:p w14:paraId="5AF71AFF">
      <w:pPr>
        <w:shd w:val="clear" w:color="auto" w:fill="FFFFFF" w:themeFill="background1"/>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投标人名称(盖公章)：</w:t>
      </w:r>
    </w:p>
    <w:p w14:paraId="4BC5BF63">
      <w:pPr>
        <w:shd w:val="clear" w:color="auto" w:fill="FFFFFF" w:themeFill="background1"/>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   日</w:t>
      </w:r>
    </w:p>
    <w:p w14:paraId="2D1586D8">
      <w:pPr>
        <w:shd w:val="clear" w:color="auto" w:fill="FFFFFF" w:themeFill="background1"/>
        <w:snapToGrid w:val="0"/>
        <w:spacing w:before="50" w:after="50"/>
        <w:rPr>
          <w:rFonts w:ascii="宋体" w:hAnsi="宋体" w:cs="宋体"/>
          <w:color w:val="auto"/>
          <w:sz w:val="24"/>
          <w:highlight w:val="none"/>
        </w:rPr>
      </w:pPr>
    </w:p>
    <w:p w14:paraId="4BDCE470">
      <w:pPr>
        <w:pStyle w:val="13"/>
        <w:shd w:val="clear" w:color="auto" w:fill="FFFFFF" w:themeFill="background1"/>
        <w:jc w:val="center"/>
        <w:outlineLvl w:val="1"/>
        <w:rPr>
          <w:rFonts w:hAnsi="宋体" w:cs="宋体"/>
          <w:b/>
          <w:bCs/>
          <w:color w:val="auto"/>
          <w:sz w:val="28"/>
          <w:szCs w:val="28"/>
          <w:highlight w:val="none"/>
        </w:rPr>
      </w:pPr>
      <w:bookmarkStart w:id="392" w:name="_Toc3481"/>
      <w:bookmarkStart w:id="393" w:name="_Toc12675"/>
      <w:bookmarkStart w:id="394" w:name="_Toc9015"/>
      <w:bookmarkStart w:id="395" w:name="_Toc1343"/>
      <w:bookmarkStart w:id="396" w:name="_Toc12868"/>
      <w:bookmarkStart w:id="397" w:name="_Toc31920"/>
      <w:bookmarkStart w:id="398" w:name="_Toc28617"/>
      <w:bookmarkStart w:id="399" w:name="_Toc17719"/>
      <w:bookmarkStart w:id="400" w:name="_Toc22926"/>
      <w:bookmarkStart w:id="401" w:name="_Toc30951"/>
    </w:p>
    <w:p w14:paraId="6A5F037D">
      <w:pPr>
        <w:pStyle w:val="13"/>
        <w:shd w:val="clear" w:color="auto" w:fill="FFFFFF" w:themeFill="background1"/>
        <w:jc w:val="center"/>
        <w:outlineLvl w:val="1"/>
        <w:rPr>
          <w:rFonts w:hAnsi="宋体" w:cs="宋体"/>
          <w:b/>
          <w:bCs/>
          <w:color w:val="auto"/>
          <w:sz w:val="28"/>
          <w:szCs w:val="28"/>
          <w:highlight w:val="none"/>
        </w:rPr>
      </w:pPr>
    </w:p>
    <w:p w14:paraId="71C22560">
      <w:pPr>
        <w:pStyle w:val="13"/>
        <w:shd w:val="clear" w:color="auto" w:fill="FFFFFF" w:themeFill="background1"/>
        <w:jc w:val="center"/>
        <w:outlineLvl w:val="1"/>
        <w:rPr>
          <w:rFonts w:hAnsi="宋体" w:cs="宋体"/>
          <w:b/>
          <w:bCs/>
          <w:color w:val="auto"/>
          <w:sz w:val="28"/>
          <w:szCs w:val="28"/>
          <w:highlight w:val="none"/>
        </w:rPr>
      </w:pPr>
      <w:r>
        <w:rPr>
          <w:rFonts w:hint="eastAsia" w:hAnsi="宋体" w:cs="宋体"/>
          <w:b/>
          <w:bCs/>
          <w:color w:val="auto"/>
          <w:sz w:val="28"/>
          <w:szCs w:val="28"/>
          <w:highlight w:val="none"/>
        </w:rPr>
        <w:t>第四节 报价文件格式</w:t>
      </w:r>
      <w:bookmarkEnd w:id="392"/>
      <w:bookmarkEnd w:id="393"/>
      <w:bookmarkEnd w:id="394"/>
      <w:bookmarkEnd w:id="395"/>
      <w:bookmarkEnd w:id="396"/>
      <w:bookmarkEnd w:id="397"/>
      <w:bookmarkEnd w:id="398"/>
      <w:bookmarkEnd w:id="399"/>
      <w:bookmarkEnd w:id="400"/>
      <w:bookmarkEnd w:id="401"/>
    </w:p>
    <w:p w14:paraId="12C8C7E8">
      <w:pPr>
        <w:shd w:val="clear" w:color="auto" w:fill="FFFFFF" w:themeFill="background1"/>
        <w:snapToGrid w:val="0"/>
        <w:spacing w:before="120" w:beforeLines="50" w:after="50" w:line="400" w:lineRule="exact"/>
        <w:jc w:val="left"/>
        <w:rPr>
          <w:rFonts w:ascii="宋体" w:hAnsi="宋体" w:cs="宋体"/>
          <w:color w:val="auto"/>
          <w:sz w:val="24"/>
          <w:highlight w:val="none"/>
        </w:rPr>
      </w:pPr>
      <w:r>
        <w:rPr>
          <w:rFonts w:hint="eastAsia" w:ascii="宋体" w:hAnsi="宋体" w:cs="宋体"/>
          <w:color w:val="auto"/>
          <w:sz w:val="24"/>
          <w:highlight w:val="none"/>
        </w:rPr>
        <w:t xml:space="preserve"> </w:t>
      </w:r>
    </w:p>
    <w:p w14:paraId="0CC9A8C7">
      <w:pPr>
        <w:shd w:val="clear" w:color="auto" w:fill="FFFFFF" w:themeFill="background1"/>
        <w:snapToGrid w:val="0"/>
        <w:spacing w:before="120" w:beforeLines="50" w:after="50" w:line="400" w:lineRule="exact"/>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8"/>
          <w:szCs w:val="28"/>
          <w:highlight w:val="none"/>
        </w:rPr>
        <w:t>1.报价文件封面的格式（参照此格式自拟）：</w:t>
      </w:r>
      <w:r>
        <w:rPr>
          <w:rFonts w:hint="eastAsia" w:ascii="宋体" w:hAnsi="宋体" w:cs="宋体"/>
          <w:color w:val="auto"/>
          <w:sz w:val="24"/>
          <w:highlight w:val="none"/>
        </w:rPr>
        <w:t xml:space="preserve">                                </w:t>
      </w:r>
    </w:p>
    <w:p w14:paraId="48BC6D2D">
      <w:pPr>
        <w:shd w:val="clear" w:color="auto" w:fill="FFFFFF" w:themeFill="background1"/>
        <w:snapToGrid w:val="0"/>
        <w:spacing w:before="120" w:beforeLines="50" w:after="50" w:line="400" w:lineRule="exact"/>
        <w:rPr>
          <w:rFonts w:ascii="宋体" w:hAnsi="宋体" w:cs="宋体"/>
          <w:color w:val="auto"/>
          <w:sz w:val="24"/>
          <w:highlight w:val="none"/>
        </w:rPr>
      </w:pPr>
    </w:p>
    <w:p w14:paraId="211FBA81">
      <w:pPr>
        <w:shd w:val="clear" w:color="auto" w:fill="FFFFFF" w:themeFill="background1"/>
        <w:snapToGrid w:val="0"/>
        <w:spacing w:before="120" w:beforeLines="50" w:after="50" w:line="400" w:lineRule="exact"/>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1580C7A3">
      <w:pPr>
        <w:shd w:val="clear" w:color="auto" w:fill="FFFFFF" w:themeFill="background1"/>
        <w:snapToGrid w:val="0"/>
        <w:spacing w:before="120" w:beforeLines="50" w:after="50" w:line="400" w:lineRule="exact"/>
        <w:jc w:val="center"/>
        <w:rPr>
          <w:rFonts w:ascii="宋体" w:hAnsi="宋体" w:cs="宋体"/>
          <w:bCs/>
          <w:color w:val="auto"/>
          <w:sz w:val="24"/>
          <w:szCs w:val="20"/>
          <w:highlight w:val="none"/>
        </w:rPr>
      </w:pPr>
    </w:p>
    <w:p w14:paraId="43F02A80">
      <w:pPr>
        <w:shd w:val="clear" w:color="auto" w:fill="FFFFFF" w:themeFill="background1"/>
        <w:snapToGrid w:val="0"/>
        <w:spacing w:before="120"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54D68452">
      <w:pPr>
        <w:shd w:val="clear" w:color="auto" w:fill="FFFFFF" w:themeFill="background1"/>
        <w:snapToGrid w:val="0"/>
        <w:spacing w:before="120" w:beforeLines="50" w:after="50" w:line="400" w:lineRule="exact"/>
        <w:rPr>
          <w:rFonts w:ascii="宋体" w:hAnsi="宋体" w:cs="宋体"/>
          <w:bCs/>
          <w:color w:val="auto"/>
          <w:sz w:val="24"/>
          <w:szCs w:val="20"/>
          <w:highlight w:val="none"/>
        </w:rPr>
      </w:pPr>
    </w:p>
    <w:p w14:paraId="30814CCB">
      <w:pPr>
        <w:shd w:val="clear" w:color="auto" w:fill="FFFFFF" w:themeFill="background1"/>
        <w:snapToGrid w:val="0"/>
        <w:spacing w:before="120" w:beforeLines="50" w:after="50" w:line="400" w:lineRule="exact"/>
        <w:rPr>
          <w:rFonts w:ascii="宋体" w:hAnsi="宋体" w:cs="宋体"/>
          <w:bCs/>
          <w:color w:val="auto"/>
          <w:sz w:val="24"/>
          <w:szCs w:val="20"/>
          <w:highlight w:val="none"/>
        </w:rPr>
      </w:pPr>
    </w:p>
    <w:p w14:paraId="59EF26FF">
      <w:pPr>
        <w:shd w:val="clear" w:color="auto" w:fill="FFFFFF" w:themeFill="background1"/>
        <w:snapToGrid w:val="0"/>
        <w:spacing w:before="120" w:beforeLines="50" w:after="50" w:line="400" w:lineRule="exact"/>
        <w:rPr>
          <w:rFonts w:ascii="宋体" w:hAnsi="宋体" w:cs="宋体"/>
          <w:bCs/>
          <w:color w:val="auto"/>
          <w:sz w:val="24"/>
          <w:szCs w:val="20"/>
          <w:highlight w:val="none"/>
        </w:rPr>
      </w:pPr>
    </w:p>
    <w:p w14:paraId="182025D4">
      <w:pPr>
        <w:shd w:val="clear" w:color="auto" w:fill="FFFFFF" w:themeFill="background1"/>
        <w:snapToGrid w:val="0"/>
        <w:spacing w:before="120" w:beforeLines="50" w:after="50" w:line="400" w:lineRule="exact"/>
        <w:rPr>
          <w:rFonts w:ascii="宋体" w:hAnsi="宋体" w:cs="宋体"/>
          <w:bCs/>
          <w:color w:val="auto"/>
          <w:sz w:val="24"/>
          <w:szCs w:val="20"/>
          <w:highlight w:val="none"/>
        </w:rPr>
      </w:pPr>
    </w:p>
    <w:p w14:paraId="14D20F4F">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045C738F">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p>
    <w:p w14:paraId="493204A3">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6063E254">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p>
    <w:p w14:paraId="71C79E42">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51A7E0AD">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p>
    <w:p w14:paraId="45AA848B">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15F95EBB">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p>
    <w:p w14:paraId="06AEF523">
      <w:pPr>
        <w:pStyle w:val="7"/>
        <w:shd w:val="clear" w:color="auto" w:fill="FFFFFF" w:themeFill="background1"/>
        <w:snapToGrid w:val="0"/>
        <w:spacing w:before="50" w:after="50" w:line="400" w:lineRule="exact"/>
        <w:ind w:firstLine="960" w:firstLineChars="400"/>
        <w:rPr>
          <w:rFonts w:ascii="宋体" w:hAnsi="宋体" w:cs="宋体"/>
          <w:bCs/>
          <w:color w:val="auto"/>
          <w:sz w:val="24"/>
          <w:szCs w:val="24"/>
          <w:highlight w:val="none"/>
        </w:rPr>
      </w:pPr>
    </w:p>
    <w:p w14:paraId="11F9CE24">
      <w:pPr>
        <w:shd w:val="clear" w:color="auto" w:fill="FFFFFF" w:themeFill="background1"/>
        <w:snapToGrid w:val="0"/>
        <w:spacing w:before="120" w:beforeLines="50" w:after="50" w:line="400" w:lineRule="exact"/>
        <w:rPr>
          <w:rFonts w:ascii="宋体" w:hAnsi="宋体" w:cs="宋体"/>
          <w:color w:val="auto"/>
          <w:sz w:val="24"/>
          <w:highlight w:val="none"/>
        </w:rPr>
      </w:pPr>
      <w:r>
        <w:rPr>
          <w:rFonts w:hint="eastAsia" w:ascii="宋体" w:hAnsi="宋体" w:cs="宋体"/>
          <w:color w:val="auto"/>
          <w:sz w:val="24"/>
          <w:highlight w:val="none"/>
        </w:rPr>
        <w:t xml:space="preserve">                                                     </w:t>
      </w:r>
    </w:p>
    <w:p w14:paraId="33924EEA">
      <w:pPr>
        <w:shd w:val="clear" w:color="auto" w:fill="FFFFFF" w:themeFill="background1"/>
        <w:snapToGrid w:val="0"/>
        <w:spacing w:before="120" w:beforeLines="50" w:after="50" w:line="400" w:lineRule="exact"/>
        <w:ind w:firstLine="3120" w:firstLineChars="1300"/>
        <w:rPr>
          <w:rFonts w:ascii="宋体" w:hAnsi="宋体" w:cs="宋体"/>
          <w:color w:val="auto"/>
          <w:sz w:val="24"/>
          <w:highlight w:val="none"/>
        </w:rPr>
      </w:pPr>
    </w:p>
    <w:p w14:paraId="03292056">
      <w:pPr>
        <w:shd w:val="clear" w:color="auto" w:fill="FFFFFF" w:themeFill="background1"/>
        <w:snapToGrid w:val="0"/>
        <w:spacing w:before="120" w:beforeLines="50" w:after="50" w:line="400" w:lineRule="exact"/>
        <w:ind w:firstLine="4320" w:firstLineChars="1800"/>
        <w:rPr>
          <w:rFonts w:ascii="宋体" w:hAnsi="宋体" w:cs="宋体"/>
          <w:color w:val="auto"/>
          <w:sz w:val="24"/>
          <w:highlight w:val="none"/>
        </w:rPr>
      </w:pPr>
      <w:r>
        <w:rPr>
          <w:rFonts w:hint="eastAsia" w:ascii="宋体" w:hAnsi="宋体" w:cs="宋体"/>
          <w:color w:val="auto"/>
          <w:sz w:val="24"/>
          <w:highlight w:val="none"/>
        </w:rPr>
        <w:t xml:space="preserve">  年  月  日</w:t>
      </w:r>
    </w:p>
    <w:p w14:paraId="042D4646">
      <w:pPr>
        <w:widowControl/>
        <w:shd w:val="clear" w:color="auto" w:fill="FFFFFF" w:themeFill="background1"/>
        <w:jc w:val="left"/>
        <w:rPr>
          <w:rFonts w:ascii="宋体" w:hAnsi="宋体" w:cs="宋体"/>
          <w:color w:val="auto"/>
          <w:sz w:val="24"/>
          <w:highlight w:val="none"/>
        </w:rPr>
        <w:sectPr>
          <w:pgSz w:w="11905" w:h="16838"/>
          <w:pgMar w:top="1134" w:right="1134" w:bottom="1134" w:left="1134" w:header="850" w:footer="850" w:gutter="0"/>
          <w:cols w:space="0" w:num="1"/>
          <w:titlePg/>
          <w:docGrid w:linePitch="331" w:charSpace="0"/>
        </w:sectPr>
      </w:pPr>
    </w:p>
    <w:p w14:paraId="600528F9">
      <w:pPr>
        <w:shd w:val="clear" w:color="auto" w:fill="FFFFFF" w:themeFill="background1"/>
        <w:snapToGrid w:val="0"/>
        <w:spacing w:before="120" w:beforeLines="50" w:after="50" w:line="360" w:lineRule="auto"/>
        <w:jc w:val="left"/>
        <w:rPr>
          <w:rFonts w:ascii="宋体" w:hAnsi="宋体" w:cs="宋体"/>
          <w:color w:val="auto"/>
          <w:sz w:val="28"/>
          <w:szCs w:val="28"/>
          <w:highlight w:val="none"/>
        </w:rPr>
      </w:pPr>
      <w:r>
        <w:rPr>
          <w:rFonts w:hint="eastAsia" w:ascii="宋体" w:hAnsi="宋体" w:cs="宋体"/>
          <w:b/>
          <w:color w:val="auto"/>
          <w:sz w:val="28"/>
          <w:szCs w:val="28"/>
          <w:highlight w:val="none"/>
        </w:rPr>
        <w:t>2.</w:t>
      </w:r>
      <w:r>
        <w:rPr>
          <w:rFonts w:hint="eastAsia" w:ascii="宋体" w:hAnsi="宋体" w:cs="宋体"/>
          <w:b/>
          <w:bCs/>
          <w:color w:val="auto"/>
          <w:sz w:val="28"/>
          <w:szCs w:val="28"/>
          <w:highlight w:val="none"/>
        </w:rPr>
        <w:t>报价文件目录</w:t>
      </w:r>
    </w:p>
    <w:p w14:paraId="624A0A64">
      <w:pPr>
        <w:shd w:val="clear" w:color="auto" w:fill="FFFFFF" w:themeFill="background1"/>
        <w:snapToGrid w:val="0"/>
        <w:spacing w:before="50" w:after="120" w:afterLines="50" w:line="360" w:lineRule="auto"/>
        <w:jc w:val="left"/>
        <w:rPr>
          <w:rFonts w:ascii="宋体" w:hAnsi="宋体" w:cs="宋体"/>
          <w:b/>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r>
        <w:rPr>
          <w:rFonts w:hint="eastAsia" w:ascii="宋体" w:hAnsi="宋体" w:cs="宋体"/>
          <w:color w:val="auto"/>
          <w:kern w:val="0"/>
          <w:sz w:val="28"/>
          <w:szCs w:val="28"/>
          <w:highlight w:val="none"/>
        </w:rPr>
        <w:t>（部分格式后附）</w:t>
      </w:r>
      <w:r>
        <w:rPr>
          <w:rFonts w:hint="eastAsia" w:ascii="宋体" w:hAnsi="宋体" w:cs="宋体"/>
          <w:color w:val="auto"/>
          <w:sz w:val="28"/>
          <w:szCs w:val="28"/>
          <w:highlight w:val="none"/>
        </w:rPr>
        <w:t>。</w:t>
      </w:r>
    </w:p>
    <w:p w14:paraId="40532844">
      <w:pPr>
        <w:shd w:val="clear" w:color="auto" w:fill="FFFFFF" w:themeFill="background1"/>
        <w:spacing w:line="50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1796F5D3">
      <w:pPr>
        <w:pStyle w:val="13"/>
        <w:shd w:val="clear" w:color="auto" w:fill="FFFFFF" w:themeFill="background1"/>
        <w:spacing w:line="500" w:lineRule="exact"/>
        <w:jc w:val="left"/>
        <w:rPr>
          <w:rFonts w:hAnsi="宋体" w:cs="宋体"/>
          <w:b/>
          <w:bCs/>
          <w:color w:val="auto"/>
          <w:sz w:val="30"/>
          <w:szCs w:val="30"/>
          <w:highlight w:val="none"/>
        </w:rPr>
      </w:pPr>
      <w:r>
        <w:rPr>
          <w:rFonts w:hint="eastAsia" w:hAnsi="宋体" w:cs="宋体"/>
          <w:b/>
          <w:bCs/>
          <w:color w:val="auto"/>
          <w:sz w:val="28"/>
          <w:szCs w:val="28"/>
          <w:highlight w:val="none"/>
        </w:rPr>
        <w:t>3.投标函的格式：</w:t>
      </w:r>
    </w:p>
    <w:p w14:paraId="02F63645">
      <w:pPr>
        <w:pStyle w:val="13"/>
        <w:shd w:val="clear" w:color="auto" w:fill="FFFFFF" w:themeFill="background1"/>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投标函</w:t>
      </w:r>
    </w:p>
    <w:p w14:paraId="2EE09B61">
      <w:pPr>
        <w:pStyle w:val="13"/>
        <w:shd w:val="clear" w:color="auto" w:fill="FFFFFF" w:themeFill="background1"/>
        <w:spacing w:line="440" w:lineRule="exact"/>
        <w:ind w:firstLine="420" w:firstLineChars="200"/>
        <w:rPr>
          <w:rFonts w:hAnsi="宋体" w:cs="宋体"/>
          <w:color w:val="auto"/>
          <w:highlight w:val="none"/>
        </w:rPr>
      </w:pPr>
    </w:p>
    <w:p w14:paraId="43D8EF20">
      <w:pPr>
        <w:pStyle w:val="13"/>
        <w:shd w:val="clear" w:color="auto" w:fill="FFFFFF" w:themeFill="background1"/>
        <w:spacing w:line="440" w:lineRule="exact"/>
        <w:ind w:firstLine="420" w:firstLineChars="200"/>
        <w:rPr>
          <w:rFonts w:hAnsi="宋体" w:cs="宋体"/>
          <w:color w:val="auto"/>
          <w:highlight w:val="none"/>
        </w:rPr>
      </w:pPr>
      <w:r>
        <w:rPr>
          <w:rFonts w:hint="eastAsia" w:hAnsi="宋体" w:cs="宋体"/>
          <w:color w:val="auto"/>
          <w:highlight w:val="none"/>
        </w:rPr>
        <w:t>致：</w:t>
      </w:r>
      <w:bookmarkStart w:id="402" w:name="PO_3000001866_PM031_4"/>
      <w:r>
        <w:rPr>
          <w:rFonts w:hint="eastAsia" w:hAnsi="宋体" w:cs="宋体"/>
          <w:color w:val="auto"/>
          <w:highlight w:val="none"/>
          <w:u w:val="single"/>
        </w:rPr>
        <w:t>广西科联招标中心有限公司</w:t>
      </w:r>
      <w:bookmarkEnd w:id="402"/>
    </w:p>
    <w:p w14:paraId="550F2E98">
      <w:pPr>
        <w:pStyle w:val="13"/>
        <w:shd w:val="clear" w:color="auto" w:fill="FFFFFF" w:themeFill="background1"/>
        <w:spacing w:line="440" w:lineRule="exact"/>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i/>
          <w:iCs/>
          <w:color w:val="auto"/>
          <w:highlight w:val="none"/>
          <w:u w:val="single"/>
        </w:rPr>
        <w:t>（项目名称）</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236F6F2D">
      <w:pPr>
        <w:pStyle w:val="13"/>
        <w:shd w:val="clear" w:color="auto" w:fill="FFFFFF" w:themeFill="background1"/>
        <w:spacing w:line="440" w:lineRule="exact"/>
        <w:ind w:firstLine="420" w:firstLineChars="200"/>
        <w:rPr>
          <w:rFonts w:hAnsi="宋体" w:cs="宋体"/>
          <w:color w:val="auto"/>
          <w:highlight w:val="none"/>
        </w:rPr>
      </w:pPr>
      <w:r>
        <w:rPr>
          <w:rFonts w:hint="eastAsia" w:hAnsi="宋体" w:cs="宋体"/>
          <w:color w:val="auto"/>
          <w:highlight w:val="none"/>
        </w:rPr>
        <w:t>一、报价文件电子版（包含按投标人须知前附表要求提交的全部文件）；</w:t>
      </w:r>
    </w:p>
    <w:p w14:paraId="48430788">
      <w:pPr>
        <w:pStyle w:val="13"/>
        <w:shd w:val="clear" w:color="auto" w:fill="FFFFFF" w:themeFill="background1"/>
        <w:spacing w:line="440" w:lineRule="exact"/>
        <w:ind w:firstLine="482"/>
        <w:rPr>
          <w:rFonts w:hAnsi="宋体" w:cs="宋体"/>
          <w:color w:val="auto"/>
          <w:highlight w:val="none"/>
        </w:rPr>
      </w:pPr>
      <w:r>
        <w:rPr>
          <w:rFonts w:hint="eastAsia" w:hAnsi="宋体" w:cs="宋体"/>
          <w:color w:val="auto"/>
          <w:highlight w:val="none"/>
        </w:rPr>
        <w:t>二、资格文件电子版（包含按投标人须知前附表要求提交的全部文件）；</w:t>
      </w:r>
    </w:p>
    <w:p w14:paraId="3F3F626C">
      <w:pPr>
        <w:pStyle w:val="13"/>
        <w:shd w:val="clear" w:color="auto" w:fill="FFFFFF" w:themeFill="background1"/>
        <w:spacing w:line="440" w:lineRule="exact"/>
        <w:ind w:firstLine="482"/>
        <w:rPr>
          <w:rFonts w:hAnsi="宋体" w:cs="宋体"/>
          <w:color w:val="auto"/>
          <w:highlight w:val="none"/>
        </w:rPr>
      </w:pPr>
      <w:r>
        <w:rPr>
          <w:rFonts w:hint="eastAsia" w:hAnsi="宋体" w:cs="宋体"/>
          <w:color w:val="auto"/>
          <w:highlight w:val="none"/>
        </w:rPr>
        <w:t>三、技术文件电子版（包含按投标人须知前附表要求提交的全部文件）；</w:t>
      </w:r>
    </w:p>
    <w:p w14:paraId="4F34D5BF">
      <w:pPr>
        <w:pStyle w:val="13"/>
        <w:shd w:val="clear" w:color="auto" w:fill="FFFFFF" w:themeFill="background1"/>
        <w:spacing w:line="440" w:lineRule="exact"/>
        <w:ind w:firstLine="482"/>
        <w:rPr>
          <w:rFonts w:hAnsi="宋体" w:cs="宋体"/>
          <w:color w:val="auto"/>
          <w:highlight w:val="none"/>
        </w:rPr>
      </w:pPr>
      <w:r>
        <w:rPr>
          <w:rFonts w:hint="eastAsia" w:hAnsi="宋体" w:cs="宋体"/>
          <w:color w:val="auto"/>
          <w:highlight w:val="none"/>
        </w:rPr>
        <w:t>四、商务文件电子版（包含按投标人须知前附表要求提交的全部文件）；</w:t>
      </w:r>
    </w:p>
    <w:p w14:paraId="5C39A671">
      <w:pPr>
        <w:pStyle w:val="13"/>
        <w:shd w:val="clear" w:color="auto" w:fill="FFFFFF" w:themeFill="background1"/>
        <w:spacing w:line="440" w:lineRule="exact"/>
        <w:ind w:firstLine="482"/>
        <w:rPr>
          <w:rFonts w:hAnsi="宋体" w:cs="宋体"/>
          <w:color w:val="auto"/>
          <w:highlight w:val="none"/>
        </w:rPr>
      </w:pPr>
      <w:r>
        <w:rPr>
          <w:rFonts w:hint="eastAsia" w:hAnsi="宋体" w:cs="宋体"/>
          <w:color w:val="auto"/>
          <w:highlight w:val="none"/>
        </w:rPr>
        <w:t>据此函，我方兹宣布：</w:t>
      </w:r>
    </w:p>
    <w:p w14:paraId="34EA445B">
      <w:pPr>
        <w:pStyle w:val="13"/>
        <w:shd w:val="clear" w:color="auto" w:fill="FFFFFF" w:themeFill="background1"/>
        <w:spacing w:line="440" w:lineRule="exact"/>
        <w:ind w:firstLine="420" w:firstLineChars="200"/>
        <w:rPr>
          <w:rFonts w:hAnsi="宋体" w:cs="宋体"/>
          <w:color w:val="auto"/>
          <w:highlight w:val="none"/>
        </w:rPr>
      </w:pPr>
      <w:r>
        <w:rPr>
          <w:rFonts w:hint="eastAsia" w:hAnsi="宋体" w:cs="宋体"/>
          <w:color w:val="auto"/>
          <w:highlight w:val="none"/>
        </w:rPr>
        <w:t>1、</w:t>
      </w:r>
      <w:r>
        <w:rPr>
          <w:rFonts w:hint="eastAsia"/>
          <w:color w:val="auto"/>
          <w:highlight w:val="none"/>
        </w:rPr>
        <w:t>我方愿意以投标时提供</w:t>
      </w:r>
      <w:r>
        <w:rPr>
          <w:rFonts w:hint="eastAsia" w:hAnsi="宋体" w:cs="宋体"/>
          <w:color w:val="auto"/>
          <w:highlight w:val="none"/>
        </w:rPr>
        <w:t>的开标一览表中的投标单价</w:t>
      </w:r>
      <w:r>
        <w:rPr>
          <w:rFonts w:hint="eastAsia" w:hAnsi="宋体" w:cs="宋体"/>
          <w:color w:val="auto"/>
          <w:szCs w:val="22"/>
          <w:highlight w:val="none"/>
        </w:rPr>
        <w:t>报价，在承诺的服务期限内</w:t>
      </w:r>
      <w:r>
        <w:rPr>
          <w:rFonts w:hint="eastAsia"/>
          <w:color w:val="auto"/>
          <w:highlight w:val="none"/>
        </w:rPr>
        <w:t>提供本项目</w:t>
      </w:r>
      <w:r>
        <w:rPr>
          <w:rFonts w:hint="eastAsia" w:hAnsi="Times New Roman"/>
          <w:color w:val="auto"/>
          <w:highlight w:val="none"/>
        </w:rPr>
        <w:t>招标文件“第二章  采购需求”的“服务要求”中</w:t>
      </w:r>
      <w:r>
        <w:rPr>
          <w:rFonts w:hint="eastAsia"/>
          <w:color w:val="auto"/>
          <w:highlight w:val="none"/>
        </w:rPr>
        <w:t>的相应的采购内容</w:t>
      </w:r>
      <w:r>
        <w:rPr>
          <w:rFonts w:hint="eastAsia" w:hAnsi="宋体" w:cs="宋体"/>
          <w:color w:val="auto"/>
          <w:highlight w:val="none"/>
        </w:rPr>
        <w:t>，具体详见开标一览表。</w:t>
      </w:r>
    </w:p>
    <w:p w14:paraId="474FAA6F">
      <w:pPr>
        <w:pStyle w:val="13"/>
        <w:shd w:val="clear" w:color="auto" w:fill="FFFFFF" w:themeFill="background1"/>
        <w:spacing w:line="360" w:lineRule="exact"/>
        <w:ind w:firstLine="420" w:firstLineChars="200"/>
        <w:rPr>
          <w:rFonts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第21.1项规定的投标截止时间（开标时间）起遵循本投标函，并承诺在“投标人须知前附表”第17.2项规定的投标有效期内不修改、撤销投标文件。</w:t>
      </w:r>
    </w:p>
    <w:p w14:paraId="65464437">
      <w:pPr>
        <w:pStyle w:val="13"/>
        <w:shd w:val="clear" w:color="auto" w:fill="FFFFFF" w:themeFill="background1"/>
        <w:spacing w:line="360" w:lineRule="exact"/>
        <w:ind w:firstLine="420" w:firstLineChars="200"/>
        <w:rPr>
          <w:rFonts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6C5BDC88">
      <w:pPr>
        <w:pStyle w:val="13"/>
        <w:shd w:val="clear" w:color="auto" w:fill="FFFFFF" w:themeFill="background1"/>
        <w:spacing w:line="440" w:lineRule="exact"/>
        <w:ind w:firstLine="420" w:firstLineChars="200"/>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2BAC04B2">
      <w:pPr>
        <w:pStyle w:val="13"/>
        <w:shd w:val="clear" w:color="auto" w:fill="FFFFFF" w:themeFill="background1"/>
        <w:spacing w:line="440" w:lineRule="exact"/>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156DD165">
      <w:pPr>
        <w:pStyle w:val="13"/>
        <w:shd w:val="clear" w:color="auto" w:fill="FFFFFF" w:themeFill="background1"/>
        <w:spacing w:line="440" w:lineRule="exact"/>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2FAC9F2E">
      <w:pPr>
        <w:pStyle w:val="13"/>
        <w:shd w:val="clear" w:color="auto" w:fill="FFFFFF" w:themeFill="background1"/>
        <w:spacing w:line="440" w:lineRule="exact"/>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52B84D9E">
      <w:pPr>
        <w:pStyle w:val="13"/>
        <w:shd w:val="clear" w:color="auto" w:fill="FFFFFF" w:themeFill="background1"/>
        <w:spacing w:line="440" w:lineRule="exact"/>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8、我方完全理解贵方不一定接受投标报价最低的投标人为中标人的行为。</w:t>
      </w:r>
    </w:p>
    <w:p w14:paraId="510C4676">
      <w:pPr>
        <w:pStyle w:val="13"/>
        <w:shd w:val="clear" w:color="auto" w:fill="FFFFFF" w:themeFill="background1"/>
        <w:spacing w:line="440" w:lineRule="exact"/>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B7AB2BE">
      <w:pPr>
        <w:pStyle w:val="13"/>
        <w:numPr>
          <w:ilvl w:val="0"/>
          <w:numId w:val="7"/>
        </w:numPr>
        <w:shd w:val="clear" w:color="auto" w:fill="FFFFFF" w:themeFill="background1"/>
        <w:spacing w:line="440" w:lineRule="exact"/>
        <w:rPr>
          <w:rFonts w:hAnsi="宋体" w:cs="宋体"/>
          <w:color w:val="auto"/>
          <w:highlight w:val="none"/>
        </w:rPr>
      </w:pPr>
      <w:r>
        <w:rPr>
          <w:rFonts w:hint="eastAsia" w:hAnsi="宋体" w:cs="宋体"/>
          <w:color w:val="auto"/>
          <w:highlight w:val="none"/>
        </w:rPr>
        <w:t>提供虚假材料谋取中标、成交的；</w:t>
      </w:r>
    </w:p>
    <w:p w14:paraId="6D0E5081">
      <w:pPr>
        <w:pStyle w:val="13"/>
        <w:numPr>
          <w:ilvl w:val="0"/>
          <w:numId w:val="7"/>
        </w:numPr>
        <w:shd w:val="clear" w:color="auto" w:fill="FFFFFF" w:themeFill="background1"/>
        <w:spacing w:line="440" w:lineRule="exact"/>
        <w:rPr>
          <w:rFonts w:hAnsi="宋体" w:cs="宋体"/>
          <w:color w:val="auto"/>
          <w:highlight w:val="none"/>
        </w:rPr>
      </w:pPr>
      <w:r>
        <w:rPr>
          <w:rFonts w:hint="eastAsia" w:hAnsi="宋体" w:cs="宋体"/>
          <w:color w:val="auto"/>
          <w:highlight w:val="none"/>
        </w:rPr>
        <w:t>采取不正当手段诋毁、排挤其他供应商的；</w:t>
      </w:r>
    </w:p>
    <w:p w14:paraId="09B3C2C0">
      <w:pPr>
        <w:pStyle w:val="13"/>
        <w:numPr>
          <w:ilvl w:val="0"/>
          <w:numId w:val="7"/>
        </w:numPr>
        <w:shd w:val="clear" w:color="auto" w:fill="FFFFFF" w:themeFill="background1"/>
        <w:spacing w:line="440" w:lineRule="exact"/>
        <w:rPr>
          <w:rFonts w:hAnsi="宋体" w:cs="宋体"/>
          <w:color w:val="auto"/>
          <w:highlight w:val="none"/>
        </w:rPr>
      </w:pPr>
      <w:r>
        <w:rPr>
          <w:rFonts w:hint="eastAsia" w:hAnsi="宋体" w:cs="宋体"/>
          <w:color w:val="auto"/>
          <w:highlight w:val="none"/>
        </w:rPr>
        <w:t>与采购人、其他供应商或者采购代理机构恶意串通的；</w:t>
      </w:r>
    </w:p>
    <w:p w14:paraId="7E8340F7">
      <w:pPr>
        <w:pStyle w:val="13"/>
        <w:numPr>
          <w:ilvl w:val="0"/>
          <w:numId w:val="7"/>
        </w:numPr>
        <w:shd w:val="clear" w:color="auto" w:fill="FFFFFF" w:themeFill="background1"/>
        <w:spacing w:line="440" w:lineRule="exact"/>
        <w:rPr>
          <w:rFonts w:hAnsi="宋体" w:cs="宋体"/>
          <w:color w:val="auto"/>
          <w:highlight w:val="none"/>
        </w:rPr>
      </w:pPr>
      <w:r>
        <w:rPr>
          <w:rFonts w:hint="eastAsia" w:hAnsi="宋体" w:cs="宋体"/>
          <w:color w:val="auto"/>
          <w:highlight w:val="none"/>
        </w:rPr>
        <w:t>向采购人、采购代理机构行贿或者提供其他不正当利益的；</w:t>
      </w:r>
    </w:p>
    <w:p w14:paraId="5873AECB">
      <w:pPr>
        <w:pStyle w:val="13"/>
        <w:numPr>
          <w:ilvl w:val="0"/>
          <w:numId w:val="7"/>
        </w:numPr>
        <w:shd w:val="clear" w:color="auto" w:fill="FFFFFF" w:themeFill="background1"/>
        <w:spacing w:line="440" w:lineRule="exact"/>
        <w:rPr>
          <w:rFonts w:hAnsi="宋体" w:cs="宋体"/>
          <w:color w:val="auto"/>
          <w:highlight w:val="none"/>
        </w:rPr>
      </w:pPr>
      <w:r>
        <w:rPr>
          <w:rFonts w:hint="eastAsia" w:hAnsi="宋体" w:cs="宋体"/>
          <w:color w:val="auto"/>
          <w:highlight w:val="none"/>
        </w:rPr>
        <w:t>在招标采购过程中与采购人进行协商谈判的；</w:t>
      </w:r>
    </w:p>
    <w:p w14:paraId="169854A6">
      <w:pPr>
        <w:pStyle w:val="13"/>
        <w:numPr>
          <w:ilvl w:val="0"/>
          <w:numId w:val="7"/>
        </w:numPr>
        <w:shd w:val="clear" w:color="auto" w:fill="FFFFFF" w:themeFill="background1"/>
        <w:spacing w:line="440" w:lineRule="exact"/>
        <w:rPr>
          <w:rFonts w:hAnsi="宋体" w:cs="宋体"/>
          <w:color w:val="auto"/>
          <w:highlight w:val="none"/>
        </w:rPr>
      </w:pPr>
      <w:r>
        <w:rPr>
          <w:rFonts w:hint="eastAsia" w:hAnsi="宋体" w:cs="宋体"/>
          <w:color w:val="auto"/>
          <w:highlight w:val="none"/>
        </w:rPr>
        <w:t>拒绝有关部门监督检查或提供虚假情况的。</w:t>
      </w:r>
    </w:p>
    <w:p w14:paraId="35FC47BC">
      <w:pPr>
        <w:pStyle w:val="13"/>
        <w:shd w:val="clear" w:color="auto" w:fill="FFFFFF" w:themeFill="background1"/>
        <w:spacing w:line="360" w:lineRule="auto"/>
        <w:ind w:firstLine="420"/>
        <w:rPr>
          <w:rFonts w:hAnsi="宋体" w:cs="宋体"/>
          <w:color w:val="auto"/>
          <w:highlight w:val="none"/>
        </w:rPr>
      </w:pPr>
      <w:r>
        <w:rPr>
          <w:rFonts w:hint="eastAsia" w:hAnsi="宋体" w:cs="宋体"/>
          <w:color w:val="auto"/>
          <w:highlight w:val="none"/>
        </w:rPr>
        <w:t>10、以上事项如有虚假或者隐瞒，我方愿意承担一切后果，并不再寻求任何旨在减轻或者免除法律责任的辩解。</w:t>
      </w:r>
    </w:p>
    <w:p w14:paraId="62F41B8D">
      <w:pPr>
        <w:pStyle w:val="13"/>
        <w:shd w:val="clear" w:color="auto" w:fill="FFFFFF" w:themeFill="background1"/>
        <w:spacing w:line="360" w:lineRule="auto"/>
        <w:ind w:firstLine="420"/>
        <w:rPr>
          <w:rFonts w:hAnsi="宋体" w:cs="宋体"/>
          <w:color w:val="auto"/>
          <w:highlight w:val="none"/>
        </w:rPr>
      </w:pPr>
      <w:r>
        <w:rPr>
          <w:rFonts w:hint="eastAsia" w:hAnsi="宋体" w:cs="宋体"/>
          <w:color w:val="auto"/>
          <w:highlight w:val="none"/>
        </w:rPr>
        <w:t>11、与本投标有关的一切正式往来信函请寄：</w:t>
      </w:r>
    </w:p>
    <w:p w14:paraId="5A99AD74">
      <w:pPr>
        <w:pStyle w:val="13"/>
        <w:shd w:val="clear" w:color="auto" w:fill="FFFFFF" w:themeFill="background1"/>
        <w:spacing w:line="360" w:lineRule="auto"/>
        <w:ind w:firstLine="42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3726BE8B">
      <w:pPr>
        <w:pStyle w:val="13"/>
        <w:shd w:val="clear" w:color="auto" w:fill="FFFFFF" w:themeFill="background1"/>
        <w:spacing w:line="360" w:lineRule="auto"/>
        <w:ind w:firstLine="42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052C1AC7">
      <w:pPr>
        <w:pStyle w:val="13"/>
        <w:shd w:val="clear" w:color="auto" w:fill="FFFFFF" w:themeFill="background1"/>
        <w:spacing w:line="360" w:lineRule="auto"/>
        <w:ind w:firstLine="420"/>
        <w:rPr>
          <w:rFonts w:hAnsi="宋体" w:cs="宋体"/>
          <w:color w:val="auto"/>
          <w:highlight w:val="none"/>
          <w:u w:val="single"/>
        </w:rPr>
      </w:pPr>
      <w:r>
        <w:rPr>
          <w:rFonts w:hint="eastAsia" w:hAnsi="宋体" w:cs="宋体"/>
          <w:color w:val="auto"/>
          <w:highlight w:val="none"/>
        </w:rPr>
        <w:t>传真：</w:t>
      </w:r>
      <w:r>
        <w:rPr>
          <w:rFonts w:hint="eastAsia" w:hAnsi="宋体" w:cs="宋体"/>
          <w:color w:val="auto"/>
          <w:highlight w:val="none"/>
          <w:u w:val="single"/>
        </w:rPr>
        <w:t>　　　　　　　　　　　　　　　　　　　　　　　　　　　　</w:t>
      </w:r>
    </w:p>
    <w:p w14:paraId="7AD5E066">
      <w:pPr>
        <w:pStyle w:val="8"/>
        <w:shd w:val="clear" w:color="auto" w:fill="FFFFFF" w:themeFill="background1"/>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电子邮箱：</w:t>
      </w:r>
      <w:r>
        <w:rPr>
          <w:rFonts w:hint="eastAsia" w:ascii="宋体" w:hAnsi="宋体" w:cs="宋体"/>
          <w:color w:val="auto"/>
          <w:highlight w:val="none"/>
          <w:u w:val="single"/>
        </w:rPr>
        <w:t>　　　　　　　　　　　　　　　　　　　　　　　　　　</w:t>
      </w:r>
    </w:p>
    <w:p w14:paraId="0895E84C">
      <w:pPr>
        <w:pStyle w:val="13"/>
        <w:shd w:val="clear" w:color="auto" w:fill="FFFFFF" w:themeFill="background1"/>
        <w:spacing w:line="360" w:lineRule="auto"/>
        <w:ind w:firstLine="420"/>
        <w:rPr>
          <w:rFonts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2A8ED0B8">
      <w:pPr>
        <w:pStyle w:val="13"/>
        <w:shd w:val="clear" w:color="auto" w:fill="FFFFFF" w:themeFill="background1"/>
        <w:spacing w:line="360" w:lineRule="auto"/>
        <w:ind w:firstLine="420"/>
        <w:rPr>
          <w:rFonts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7488771D">
      <w:pPr>
        <w:pStyle w:val="13"/>
        <w:shd w:val="clear" w:color="auto" w:fill="FFFFFF" w:themeFill="background1"/>
        <w:spacing w:line="360" w:lineRule="auto"/>
        <w:ind w:firstLine="420"/>
        <w:rPr>
          <w:rFonts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14523332">
      <w:pPr>
        <w:pStyle w:val="13"/>
        <w:shd w:val="clear" w:color="auto" w:fill="FFFFFF" w:themeFill="background1"/>
        <w:spacing w:line="360" w:lineRule="auto"/>
        <w:ind w:firstLine="420"/>
        <w:rPr>
          <w:rFonts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0E46BE8F">
      <w:pPr>
        <w:shd w:val="clear" w:color="auto" w:fill="FFFFFF" w:themeFill="background1"/>
        <w:snapToGrid w:val="0"/>
        <w:spacing w:line="360" w:lineRule="auto"/>
        <w:ind w:firstLine="5040" w:firstLineChars="2100"/>
        <w:rPr>
          <w:rFonts w:ascii="宋体" w:hAnsi="宋体" w:cs="宋体"/>
          <w:color w:val="auto"/>
          <w:kern w:val="0"/>
          <w:sz w:val="24"/>
          <w:highlight w:val="none"/>
          <w:lang w:val="zh-CN"/>
        </w:rPr>
      </w:pPr>
    </w:p>
    <w:p w14:paraId="5E76AD84">
      <w:pPr>
        <w:shd w:val="clear" w:color="auto" w:fill="FFFFFF" w:themeFill="background1"/>
        <w:snapToGrid w:val="0"/>
        <w:spacing w:line="360" w:lineRule="auto"/>
        <w:ind w:firstLine="5040" w:firstLineChars="2100"/>
        <w:rPr>
          <w:rFonts w:ascii="宋体" w:hAnsi="宋体" w:cs="宋体"/>
          <w:color w:val="auto"/>
          <w:kern w:val="0"/>
          <w:sz w:val="24"/>
          <w:highlight w:val="none"/>
          <w:lang w:val="zh-CN"/>
        </w:rPr>
      </w:pPr>
    </w:p>
    <w:p w14:paraId="0082E10E">
      <w:pPr>
        <w:shd w:val="clear" w:color="auto" w:fill="FFFFFF" w:themeFill="background1"/>
        <w:snapToGrid w:val="0"/>
        <w:spacing w:line="360" w:lineRule="auto"/>
        <w:ind w:firstLine="5280" w:firstLineChars="22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45FCC7B9">
      <w:pPr>
        <w:shd w:val="clear" w:color="auto" w:fill="FFFFFF" w:themeFill="background1"/>
        <w:snapToGrid w:val="0"/>
        <w:spacing w:line="360" w:lineRule="auto"/>
        <w:ind w:firstLine="5280" w:firstLineChars="2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AF50183">
      <w:pPr>
        <w:widowControl/>
        <w:shd w:val="clear" w:color="auto" w:fill="FFFFFF" w:themeFill="background1"/>
        <w:spacing w:line="360" w:lineRule="auto"/>
        <w:jc w:val="left"/>
        <w:rPr>
          <w:rFonts w:ascii="宋体" w:hAnsi="宋体" w:cs="宋体"/>
          <w:color w:val="auto"/>
          <w:kern w:val="0"/>
          <w:sz w:val="24"/>
          <w:highlight w:val="none"/>
          <w:lang w:val="zh-CN"/>
        </w:rPr>
        <w:sectPr>
          <w:pgSz w:w="11905" w:h="16838"/>
          <w:pgMar w:top="1134" w:right="1134" w:bottom="1134" w:left="1134" w:header="850" w:footer="850" w:gutter="0"/>
          <w:cols w:space="0" w:num="1"/>
          <w:titlePg/>
          <w:docGrid w:linePitch="331" w:charSpace="0"/>
        </w:sectPr>
      </w:pPr>
    </w:p>
    <w:p w14:paraId="11F51AF0">
      <w:pPr>
        <w:pStyle w:val="13"/>
        <w:shd w:val="clear" w:color="auto" w:fill="FFFFFF" w:themeFill="background1"/>
        <w:spacing w:line="360" w:lineRule="auto"/>
        <w:jc w:val="left"/>
        <w:rPr>
          <w:rFonts w:hAnsi="宋体" w:cs="宋体"/>
          <w:b/>
          <w:color w:val="auto"/>
          <w:sz w:val="28"/>
          <w:szCs w:val="28"/>
          <w:highlight w:val="none"/>
        </w:rPr>
      </w:pPr>
      <w:r>
        <w:rPr>
          <w:rFonts w:hint="eastAsia" w:hAnsi="宋体" w:cs="宋体"/>
          <w:b/>
          <w:color w:val="auto"/>
          <w:sz w:val="28"/>
          <w:szCs w:val="28"/>
          <w:highlight w:val="none"/>
        </w:rPr>
        <w:t>4. 开标一览表的格式：</w:t>
      </w:r>
    </w:p>
    <w:p w14:paraId="39C9A4EB">
      <w:pPr>
        <w:pStyle w:val="13"/>
        <w:shd w:val="clear" w:color="auto" w:fill="FFFFFF" w:themeFill="background1"/>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10459088">
      <w:pPr>
        <w:shd w:val="clear" w:color="auto" w:fill="FFFFFF" w:themeFill="background1"/>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 xml:space="preserve">项目名称：                       </w:t>
      </w:r>
    </w:p>
    <w:p w14:paraId="0630AD45">
      <w:pPr>
        <w:shd w:val="clear" w:color="auto" w:fill="FFFFFF" w:themeFill="background1"/>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 xml:space="preserve">项目编号：   </w:t>
      </w:r>
    </w:p>
    <w:p w14:paraId="2764DB96">
      <w:pPr>
        <w:shd w:val="clear" w:color="auto" w:fill="FFFFFF" w:themeFill="background1"/>
        <w:snapToGrid w:val="0"/>
        <w:spacing w:before="50" w:after="50" w:line="360" w:lineRule="auto"/>
        <w:rPr>
          <w:rFonts w:ascii="宋体" w:hAnsi="宋体" w:cs="宋体"/>
          <w:color w:val="auto"/>
          <w:sz w:val="24"/>
          <w:highlight w:val="none"/>
        </w:rPr>
      </w:pPr>
      <w:r>
        <w:rPr>
          <w:rFonts w:hint="eastAsia" w:ascii="宋体" w:hAnsi="宋体" w:cs="宋体"/>
          <w:bCs/>
          <w:color w:val="auto"/>
          <w:sz w:val="24"/>
          <w:highlight w:val="none"/>
        </w:rPr>
        <w:t>所投分标（如有则填写，无分标时填写“无”或者留空）：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7390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20DEE271">
            <w:pPr>
              <w:rPr>
                <w:rFonts w:ascii="宋体" w:hAnsi="宋体" w:cs="宋体"/>
                <w:color w:val="auto"/>
                <w:sz w:val="24"/>
                <w:highlight w:val="none"/>
              </w:rPr>
            </w:pPr>
            <w:r>
              <w:rPr>
                <w:rFonts w:hint="eastAsia" w:ascii="宋体" w:hAnsi="宋体" w:cs="宋体"/>
                <w:color w:val="auto"/>
                <w:sz w:val="24"/>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2D3CDB1C">
            <w:pPr>
              <w:rPr>
                <w:rFonts w:ascii="宋体" w:hAnsi="宋体" w:cs="宋体"/>
                <w:color w:val="auto"/>
                <w:sz w:val="24"/>
                <w:highlight w:val="none"/>
              </w:rPr>
            </w:pPr>
            <w:r>
              <w:rPr>
                <w:rFonts w:hint="eastAsia" w:ascii="宋体" w:hAnsi="宋体" w:cs="宋体"/>
                <w:color w:val="auto"/>
                <w:sz w:val="24"/>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56EFB3D9">
            <w:pPr>
              <w:jc w:val="center"/>
              <w:rPr>
                <w:rFonts w:ascii="宋体" w:hAnsi="宋体" w:cs="宋体"/>
                <w:color w:val="auto"/>
                <w:sz w:val="24"/>
                <w:highlight w:val="none"/>
              </w:rPr>
            </w:pPr>
            <w:r>
              <w:rPr>
                <w:rFonts w:hint="eastAsia" w:ascii="宋体" w:hAnsi="宋体" w:cs="宋体"/>
                <w:color w:val="auto"/>
                <w:sz w:val="24"/>
                <w:highlight w:val="none"/>
              </w:rPr>
              <w:t>具体服务内容</w:t>
            </w:r>
          </w:p>
        </w:tc>
        <w:tc>
          <w:tcPr>
            <w:tcW w:w="1080" w:type="dxa"/>
            <w:tcBorders>
              <w:top w:val="single" w:color="auto" w:sz="4" w:space="0"/>
              <w:left w:val="single" w:color="auto" w:sz="4" w:space="0"/>
              <w:bottom w:val="single" w:color="auto" w:sz="4" w:space="0"/>
              <w:right w:val="single" w:color="auto" w:sz="4" w:space="0"/>
            </w:tcBorders>
            <w:vAlign w:val="center"/>
          </w:tcPr>
          <w:p w14:paraId="16E4FCF6">
            <w:pPr>
              <w:jc w:val="center"/>
              <w:rPr>
                <w:rFonts w:ascii="宋体" w:hAnsi="宋体" w:cs="宋体"/>
                <w:color w:val="auto"/>
                <w:sz w:val="24"/>
                <w:highlight w:val="none"/>
              </w:rPr>
            </w:pPr>
            <w:r>
              <w:rPr>
                <w:rFonts w:hint="eastAsia" w:ascii="宋体" w:hAnsi="宋体" w:cs="宋体"/>
                <w:color w:val="auto"/>
                <w:sz w:val="24"/>
                <w:highlight w:val="none"/>
              </w:rPr>
              <w:t>数量</w:t>
            </w:r>
            <w:r>
              <w:rPr>
                <w:rFonts w:hint="eastAsia" w:ascii="宋体" w:hAnsi="宋体" w:cs="宋体"/>
                <w:color w:val="auto"/>
                <w:sz w:val="24"/>
                <w:highlight w:val="none"/>
                <w:lang w:eastAsia="zh-CN"/>
              </w:rPr>
              <w:t>及单位</w:t>
            </w:r>
            <w:r>
              <w:rPr>
                <w:rFonts w:hint="eastAsia" w:ascii="宋体" w:hAnsi="宋体" w:cs="宋体"/>
                <w:color w:val="auto"/>
                <w:sz w:val="24"/>
                <w:highlight w:val="none"/>
              </w:rPr>
              <w:t>①</w:t>
            </w:r>
          </w:p>
        </w:tc>
        <w:tc>
          <w:tcPr>
            <w:tcW w:w="1260" w:type="dxa"/>
            <w:tcBorders>
              <w:top w:val="single" w:color="auto" w:sz="4" w:space="0"/>
              <w:left w:val="single" w:color="auto" w:sz="4" w:space="0"/>
              <w:bottom w:val="single" w:color="auto" w:sz="4" w:space="0"/>
              <w:right w:val="single" w:color="auto" w:sz="4" w:space="0"/>
            </w:tcBorders>
            <w:vAlign w:val="center"/>
          </w:tcPr>
          <w:p w14:paraId="6583A743">
            <w:pPr>
              <w:jc w:val="center"/>
              <w:rPr>
                <w:rFonts w:ascii="宋体" w:hAnsi="宋体" w:cs="宋体"/>
                <w:color w:val="auto"/>
                <w:sz w:val="24"/>
                <w:highlight w:val="none"/>
              </w:rPr>
            </w:pPr>
            <w:r>
              <w:rPr>
                <w:rFonts w:hint="eastAsia" w:ascii="宋体" w:hAnsi="宋体" w:cs="宋体"/>
                <w:color w:val="auto"/>
                <w:sz w:val="24"/>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3DD3861A">
            <w:pPr>
              <w:jc w:val="center"/>
              <w:rPr>
                <w:rFonts w:ascii="宋体" w:hAnsi="宋体" w:cs="宋体"/>
                <w:color w:val="auto"/>
                <w:sz w:val="24"/>
                <w:highlight w:val="none"/>
              </w:rPr>
            </w:pPr>
            <w:r>
              <w:rPr>
                <w:rFonts w:hint="eastAsia" w:ascii="宋体" w:hAnsi="宋体" w:cs="宋体"/>
                <w:color w:val="auto"/>
                <w:sz w:val="24"/>
                <w:highlight w:val="none"/>
              </w:rPr>
              <w:t>单项合价（元）</w:t>
            </w:r>
          </w:p>
          <w:p w14:paraId="37577BC7">
            <w:pPr>
              <w:jc w:val="center"/>
              <w:rPr>
                <w:rFonts w:ascii="宋体" w:hAnsi="宋体" w:cs="宋体"/>
                <w:color w:val="auto"/>
                <w:sz w:val="24"/>
                <w:highlight w:val="none"/>
              </w:rPr>
            </w:pPr>
            <w:r>
              <w:rPr>
                <w:rFonts w:hint="eastAsia" w:ascii="宋体" w:hAnsi="宋体" w:cs="宋体"/>
                <w:color w:val="auto"/>
                <w:sz w:val="24"/>
                <w:highlight w:val="none"/>
              </w:rPr>
              <w:t>③＝①×②</w:t>
            </w:r>
          </w:p>
        </w:tc>
        <w:tc>
          <w:tcPr>
            <w:tcW w:w="957" w:type="dxa"/>
            <w:tcBorders>
              <w:top w:val="single" w:color="auto" w:sz="4" w:space="0"/>
              <w:left w:val="single" w:color="auto" w:sz="4" w:space="0"/>
              <w:bottom w:val="single" w:color="auto" w:sz="4" w:space="0"/>
              <w:right w:val="single" w:color="auto" w:sz="4" w:space="0"/>
            </w:tcBorders>
          </w:tcPr>
          <w:p w14:paraId="49F8F9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服务要求（年限）</w:t>
            </w:r>
          </w:p>
        </w:tc>
        <w:tc>
          <w:tcPr>
            <w:tcW w:w="957" w:type="dxa"/>
            <w:tcBorders>
              <w:top w:val="single" w:color="auto" w:sz="4" w:space="0"/>
              <w:left w:val="single" w:color="auto" w:sz="4" w:space="0"/>
              <w:bottom w:val="single" w:color="auto" w:sz="4" w:space="0"/>
              <w:right w:val="single" w:color="auto" w:sz="4" w:space="0"/>
            </w:tcBorders>
            <w:vAlign w:val="center"/>
          </w:tcPr>
          <w:p w14:paraId="7FE0C63C">
            <w:pPr>
              <w:jc w:val="center"/>
              <w:rPr>
                <w:rFonts w:ascii="宋体" w:hAnsi="宋体" w:cs="宋体"/>
                <w:color w:val="auto"/>
                <w:sz w:val="24"/>
                <w:highlight w:val="none"/>
              </w:rPr>
            </w:pPr>
            <w:r>
              <w:rPr>
                <w:rFonts w:hint="eastAsia" w:ascii="宋体" w:hAnsi="宋体" w:cs="宋体"/>
                <w:color w:val="auto"/>
                <w:sz w:val="24"/>
                <w:highlight w:val="none"/>
              </w:rPr>
              <w:t>备注</w:t>
            </w:r>
          </w:p>
        </w:tc>
      </w:tr>
      <w:tr w14:paraId="6A9B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3FCAE459">
            <w:pPr>
              <w:jc w:val="center"/>
              <w:rPr>
                <w:rFonts w:ascii="宋体" w:hAnsi="宋体" w:cs="宋体"/>
                <w:color w:val="auto"/>
                <w:sz w:val="24"/>
                <w:highlight w:val="none"/>
              </w:rPr>
            </w:pPr>
            <w:r>
              <w:rPr>
                <w:rFonts w:hint="eastAsia" w:ascii="宋体" w:hAnsi="宋体" w:cs="宋体"/>
                <w:color w:val="auto"/>
                <w:sz w:val="24"/>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29E6DB52">
            <w:pPr>
              <w:rPr>
                <w:rFonts w:ascii="宋体" w:hAnsi="宋体" w:cs="宋体"/>
                <w:color w:val="auto"/>
                <w:sz w:val="24"/>
                <w:highlight w:val="none"/>
              </w:rPr>
            </w:pPr>
            <w:r>
              <w:rPr>
                <w:rFonts w:hint="eastAsia" w:ascii="宋体" w:hAnsi="宋体" w:cs="宋体"/>
                <w:color w:val="auto"/>
                <w:sz w:val="24"/>
                <w:highlight w:val="none"/>
              </w:rPr>
              <w:t>超高端螺旋CT维保服务</w:t>
            </w:r>
          </w:p>
        </w:tc>
        <w:tc>
          <w:tcPr>
            <w:tcW w:w="2064" w:type="dxa"/>
            <w:tcBorders>
              <w:top w:val="single" w:color="auto" w:sz="4" w:space="0"/>
              <w:left w:val="single" w:color="auto" w:sz="4" w:space="0"/>
              <w:bottom w:val="single" w:color="auto" w:sz="4" w:space="0"/>
              <w:right w:val="single" w:color="auto" w:sz="4" w:space="0"/>
            </w:tcBorders>
            <w:vAlign w:val="center"/>
          </w:tcPr>
          <w:p w14:paraId="042EFE5E">
            <w:pPr>
              <w:rPr>
                <w:rFonts w:ascii="宋体" w:hAnsi="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78968B0">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3年</w:t>
            </w:r>
          </w:p>
        </w:tc>
        <w:tc>
          <w:tcPr>
            <w:tcW w:w="1260" w:type="dxa"/>
            <w:tcBorders>
              <w:top w:val="single" w:color="auto" w:sz="4" w:space="0"/>
              <w:left w:val="single" w:color="auto" w:sz="4" w:space="0"/>
              <w:bottom w:val="single" w:color="auto" w:sz="4" w:space="0"/>
              <w:right w:val="single" w:color="auto" w:sz="4" w:space="0"/>
            </w:tcBorders>
            <w:vAlign w:val="center"/>
          </w:tcPr>
          <w:p w14:paraId="0E56CD09">
            <w:pPr>
              <w:rPr>
                <w:rFonts w:ascii="宋体" w:hAnsi="宋体" w:cs="宋体"/>
                <w:color w:val="auto"/>
                <w:sz w:val="24"/>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EA92175">
            <w:pPr>
              <w:rPr>
                <w:rFonts w:ascii="宋体" w:hAnsi="宋体" w:cs="宋体"/>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tcPr>
          <w:p w14:paraId="45DCA344">
            <w:pPr>
              <w:rPr>
                <w:rFonts w:ascii="宋体" w:hAnsi="宋体" w:cs="宋体"/>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54E98159">
            <w:pPr>
              <w:rPr>
                <w:rFonts w:ascii="宋体" w:hAnsi="宋体" w:cs="宋体"/>
                <w:color w:val="auto"/>
                <w:sz w:val="24"/>
                <w:highlight w:val="none"/>
              </w:rPr>
            </w:pPr>
          </w:p>
        </w:tc>
      </w:tr>
      <w:tr w14:paraId="3D4A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75A2077">
            <w:pPr>
              <w:jc w:val="center"/>
              <w:rPr>
                <w:rFonts w:ascii="宋体" w:hAnsi="宋体" w:cs="宋体"/>
                <w:color w:val="auto"/>
                <w:sz w:val="24"/>
                <w:highlight w:val="none"/>
              </w:rPr>
            </w:pPr>
            <w:r>
              <w:rPr>
                <w:rFonts w:hint="eastAsia" w:ascii="宋体" w:hAnsi="宋体" w:cs="宋体"/>
                <w:color w:val="auto"/>
                <w:sz w:val="24"/>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1D736EF0">
            <w:pPr>
              <w:rPr>
                <w:rFonts w:ascii="宋体" w:hAnsi="宋体" w:cs="宋体"/>
                <w:color w:val="auto"/>
                <w:sz w:val="24"/>
                <w:highlight w:val="none"/>
              </w:rPr>
            </w:pPr>
            <w:r>
              <w:rPr>
                <w:rFonts w:hint="eastAsia" w:ascii="宋体" w:hAnsi="宋体" w:cs="宋体"/>
                <w:color w:val="auto"/>
                <w:sz w:val="24"/>
                <w:highlight w:val="none"/>
              </w:rPr>
              <w:t>放射诊断科DR维保服务</w:t>
            </w:r>
          </w:p>
        </w:tc>
        <w:tc>
          <w:tcPr>
            <w:tcW w:w="2064" w:type="dxa"/>
            <w:tcBorders>
              <w:top w:val="single" w:color="auto" w:sz="4" w:space="0"/>
              <w:left w:val="single" w:color="auto" w:sz="4" w:space="0"/>
              <w:bottom w:val="single" w:color="auto" w:sz="4" w:space="0"/>
              <w:right w:val="single" w:color="auto" w:sz="4" w:space="0"/>
            </w:tcBorders>
            <w:vAlign w:val="center"/>
          </w:tcPr>
          <w:p w14:paraId="3655C656">
            <w:pPr>
              <w:rPr>
                <w:rFonts w:ascii="宋体" w:hAnsi="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FD56FD3">
            <w:pPr>
              <w:jc w:val="center"/>
              <w:rPr>
                <w:rFonts w:ascii="宋体" w:hAnsi="宋体" w:cs="宋体"/>
                <w:color w:val="auto"/>
                <w:sz w:val="24"/>
                <w:highlight w:val="none"/>
              </w:rPr>
            </w:pPr>
            <w:r>
              <w:rPr>
                <w:rFonts w:hint="eastAsia" w:ascii="宋体" w:hAnsi="宋体" w:cs="宋体"/>
                <w:color w:val="auto"/>
                <w:sz w:val="24"/>
                <w:highlight w:val="none"/>
                <w:lang w:val="en-US" w:eastAsia="zh-CN"/>
              </w:rPr>
              <w:t>3年</w:t>
            </w:r>
          </w:p>
        </w:tc>
        <w:tc>
          <w:tcPr>
            <w:tcW w:w="1260" w:type="dxa"/>
            <w:tcBorders>
              <w:top w:val="single" w:color="auto" w:sz="4" w:space="0"/>
              <w:left w:val="single" w:color="auto" w:sz="4" w:space="0"/>
              <w:bottom w:val="single" w:color="auto" w:sz="4" w:space="0"/>
              <w:right w:val="single" w:color="auto" w:sz="4" w:space="0"/>
            </w:tcBorders>
            <w:vAlign w:val="center"/>
          </w:tcPr>
          <w:p w14:paraId="6C48911A">
            <w:pPr>
              <w:rPr>
                <w:rFonts w:ascii="宋体" w:hAnsi="宋体" w:cs="宋体"/>
                <w:color w:val="auto"/>
                <w:sz w:val="24"/>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3B9232B0">
            <w:pPr>
              <w:rPr>
                <w:rFonts w:ascii="宋体" w:hAnsi="宋体" w:cs="宋体"/>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tcPr>
          <w:p w14:paraId="565EBB9D">
            <w:pPr>
              <w:rPr>
                <w:rFonts w:ascii="宋体" w:hAnsi="宋体" w:cs="宋体"/>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26E68FCE">
            <w:pPr>
              <w:rPr>
                <w:rFonts w:ascii="宋体" w:hAnsi="宋体" w:cs="宋体"/>
                <w:color w:val="auto"/>
                <w:sz w:val="24"/>
                <w:highlight w:val="none"/>
              </w:rPr>
            </w:pPr>
          </w:p>
        </w:tc>
      </w:tr>
      <w:tr w14:paraId="6B27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0C321747">
            <w:pPr>
              <w:jc w:val="center"/>
              <w:rPr>
                <w:rFonts w:ascii="宋体" w:hAnsi="宋体" w:cs="宋体"/>
                <w:color w:val="auto"/>
                <w:sz w:val="24"/>
                <w:highlight w:val="none"/>
              </w:rPr>
            </w:pPr>
            <w:r>
              <w:rPr>
                <w:rFonts w:hint="eastAsia" w:ascii="宋体" w:hAnsi="宋体" w:cs="宋体"/>
                <w:color w:val="auto"/>
                <w:sz w:val="24"/>
                <w:highlight w:val="none"/>
              </w:rPr>
              <w:t>3</w:t>
            </w:r>
          </w:p>
        </w:tc>
        <w:tc>
          <w:tcPr>
            <w:tcW w:w="1260" w:type="dxa"/>
            <w:tcBorders>
              <w:top w:val="single" w:color="auto" w:sz="4" w:space="0"/>
              <w:left w:val="single" w:color="auto" w:sz="4" w:space="0"/>
              <w:bottom w:val="single" w:color="auto" w:sz="4" w:space="0"/>
              <w:right w:val="single" w:color="auto" w:sz="4" w:space="0"/>
            </w:tcBorders>
            <w:vAlign w:val="center"/>
          </w:tcPr>
          <w:p w14:paraId="4D66F043">
            <w:pPr>
              <w:rPr>
                <w:rFonts w:ascii="宋体" w:hAnsi="宋体" w:cs="宋体"/>
                <w:color w:val="auto"/>
                <w:sz w:val="24"/>
                <w:highlight w:val="none"/>
              </w:rPr>
            </w:pPr>
            <w:r>
              <w:rPr>
                <w:rFonts w:hint="eastAsia" w:ascii="宋体" w:hAnsi="宋体" w:cs="宋体"/>
                <w:color w:val="auto"/>
                <w:sz w:val="24"/>
                <w:highlight w:val="none"/>
              </w:rPr>
              <w:t>放射诊断科胃肠机维保服务</w:t>
            </w:r>
          </w:p>
        </w:tc>
        <w:tc>
          <w:tcPr>
            <w:tcW w:w="2064" w:type="dxa"/>
            <w:tcBorders>
              <w:top w:val="single" w:color="auto" w:sz="4" w:space="0"/>
              <w:left w:val="single" w:color="auto" w:sz="4" w:space="0"/>
              <w:bottom w:val="single" w:color="auto" w:sz="4" w:space="0"/>
              <w:right w:val="single" w:color="auto" w:sz="4" w:space="0"/>
            </w:tcBorders>
            <w:vAlign w:val="center"/>
          </w:tcPr>
          <w:p w14:paraId="689976CB">
            <w:pPr>
              <w:rPr>
                <w:rFonts w:ascii="宋体" w:hAnsi="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874B5C4">
            <w:pPr>
              <w:jc w:val="center"/>
              <w:rPr>
                <w:rFonts w:ascii="宋体" w:hAnsi="宋体" w:cs="宋体"/>
                <w:color w:val="auto"/>
                <w:sz w:val="24"/>
                <w:highlight w:val="none"/>
              </w:rPr>
            </w:pPr>
            <w:r>
              <w:rPr>
                <w:rFonts w:hint="eastAsia" w:ascii="宋体" w:hAnsi="宋体" w:cs="宋体"/>
                <w:color w:val="auto"/>
                <w:sz w:val="24"/>
                <w:highlight w:val="none"/>
                <w:lang w:val="en-US" w:eastAsia="zh-CN"/>
              </w:rPr>
              <w:t>3年</w:t>
            </w:r>
          </w:p>
        </w:tc>
        <w:tc>
          <w:tcPr>
            <w:tcW w:w="1260" w:type="dxa"/>
            <w:tcBorders>
              <w:top w:val="single" w:color="auto" w:sz="4" w:space="0"/>
              <w:left w:val="single" w:color="auto" w:sz="4" w:space="0"/>
              <w:bottom w:val="single" w:color="auto" w:sz="4" w:space="0"/>
              <w:right w:val="single" w:color="auto" w:sz="4" w:space="0"/>
            </w:tcBorders>
            <w:vAlign w:val="center"/>
          </w:tcPr>
          <w:p w14:paraId="20586267">
            <w:pPr>
              <w:rPr>
                <w:rFonts w:ascii="宋体" w:hAnsi="宋体" w:cs="宋体"/>
                <w:color w:val="auto"/>
                <w:sz w:val="24"/>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D442B38">
            <w:pPr>
              <w:rPr>
                <w:rFonts w:ascii="宋体" w:hAnsi="宋体" w:cs="宋体"/>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tcPr>
          <w:p w14:paraId="427F082E">
            <w:pPr>
              <w:rPr>
                <w:rFonts w:ascii="宋体" w:hAnsi="宋体" w:cs="宋体"/>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2E2B25EC">
            <w:pPr>
              <w:rPr>
                <w:rFonts w:ascii="宋体" w:hAnsi="宋体" w:cs="宋体"/>
                <w:color w:val="auto"/>
                <w:sz w:val="24"/>
                <w:highlight w:val="none"/>
              </w:rPr>
            </w:pPr>
          </w:p>
        </w:tc>
      </w:tr>
      <w:tr w14:paraId="0190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2F6973D9">
            <w:pPr>
              <w:jc w:val="center"/>
              <w:rPr>
                <w:rFonts w:ascii="宋体" w:hAnsi="宋体" w:cs="宋体"/>
                <w:color w:val="auto"/>
                <w:sz w:val="24"/>
                <w:highlight w:val="none"/>
              </w:rPr>
            </w:pPr>
            <w:r>
              <w:rPr>
                <w:rFonts w:hint="eastAsia" w:ascii="宋体" w:hAnsi="宋体" w:cs="宋体"/>
                <w:color w:val="auto"/>
                <w:sz w:val="24"/>
                <w:highlight w:val="none"/>
              </w:rPr>
              <w:t>4</w:t>
            </w:r>
          </w:p>
        </w:tc>
        <w:tc>
          <w:tcPr>
            <w:tcW w:w="1260" w:type="dxa"/>
            <w:tcBorders>
              <w:top w:val="single" w:color="auto" w:sz="4" w:space="0"/>
              <w:left w:val="single" w:color="auto" w:sz="4" w:space="0"/>
              <w:bottom w:val="single" w:color="auto" w:sz="4" w:space="0"/>
              <w:right w:val="single" w:color="auto" w:sz="4" w:space="0"/>
            </w:tcBorders>
            <w:vAlign w:val="center"/>
          </w:tcPr>
          <w:p w14:paraId="6C2828FF">
            <w:pPr>
              <w:rPr>
                <w:rFonts w:ascii="宋体" w:hAnsi="宋体" w:cs="宋体"/>
                <w:color w:val="auto"/>
                <w:sz w:val="24"/>
                <w:highlight w:val="none"/>
              </w:rPr>
            </w:pPr>
            <w:r>
              <w:rPr>
                <w:rFonts w:hint="eastAsia" w:ascii="宋体" w:hAnsi="宋体" w:cs="宋体"/>
                <w:color w:val="auto"/>
                <w:sz w:val="24"/>
                <w:highlight w:val="none"/>
              </w:rPr>
              <w:t>体检中心DR（含移机）维保服务</w:t>
            </w:r>
          </w:p>
        </w:tc>
        <w:tc>
          <w:tcPr>
            <w:tcW w:w="2064" w:type="dxa"/>
            <w:tcBorders>
              <w:top w:val="single" w:color="auto" w:sz="4" w:space="0"/>
              <w:left w:val="single" w:color="auto" w:sz="4" w:space="0"/>
              <w:bottom w:val="single" w:color="auto" w:sz="4" w:space="0"/>
              <w:right w:val="single" w:color="auto" w:sz="4" w:space="0"/>
            </w:tcBorders>
            <w:vAlign w:val="center"/>
          </w:tcPr>
          <w:p w14:paraId="1F7F2274">
            <w:pPr>
              <w:rPr>
                <w:rFonts w:ascii="宋体" w:hAnsi="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8903765">
            <w:pPr>
              <w:jc w:val="center"/>
              <w:rPr>
                <w:rFonts w:ascii="宋体" w:hAnsi="宋体" w:cs="宋体"/>
                <w:color w:val="auto"/>
                <w:sz w:val="24"/>
                <w:highlight w:val="none"/>
              </w:rPr>
            </w:pPr>
            <w:r>
              <w:rPr>
                <w:rFonts w:hint="eastAsia" w:ascii="宋体" w:hAnsi="宋体" w:cs="宋体"/>
                <w:color w:val="auto"/>
                <w:sz w:val="24"/>
                <w:highlight w:val="none"/>
                <w:lang w:val="en-US" w:eastAsia="zh-CN"/>
              </w:rPr>
              <w:t>3年</w:t>
            </w:r>
          </w:p>
        </w:tc>
        <w:tc>
          <w:tcPr>
            <w:tcW w:w="1260" w:type="dxa"/>
            <w:tcBorders>
              <w:top w:val="single" w:color="auto" w:sz="4" w:space="0"/>
              <w:left w:val="single" w:color="auto" w:sz="4" w:space="0"/>
              <w:bottom w:val="single" w:color="auto" w:sz="4" w:space="0"/>
              <w:right w:val="single" w:color="auto" w:sz="4" w:space="0"/>
            </w:tcBorders>
            <w:vAlign w:val="center"/>
          </w:tcPr>
          <w:p w14:paraId="7C1D8F1D">
            <w:pPr>
              <w:rPr>
                <w:rFonts w:ascii="宋体" w:hAnsi="宋体" w:cs="宋体"/>
                <w:color w:val="auto"/>
                <w:sz w:val="24"/>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0C2B64E1">
            <w:pPr>
              <w:rPr>
                <w:rFonts w:ascii="宋体" w:hAnsi="宋体" w:cs="宋体"/>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tcPr>
          <w:p w14:paraId="656005D6">
            <w:pPr>
              <w:rPr>
                <w:rFonts w:ascii="宋体" w:hAnsi="宋体" w:cs="宋体"/>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2A3EDE4D">
            <w:pPr>
              <w:rPr>
                <w:rFonts w:ascii="宋体" w:hAnsi="宋体" w:cs="宋体"/>
                <w:color w:val="auto"/>
                <w:sz w:val="24"/>
                <w:highlight w:val="none"/>
              </w:rPr>
            </w:pPr>
          </w:p>
        </w:tc>
      </w:tr>
      <w:tr w14:paraId="1C3E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02B31181">
            <w:pPr>
              <w:jc w:val="center"/>
              <w:rPr>
                <w:rFonts w:ascii="宋体" w:hAnsi="宋体" w:cs="宋体"/>
                <w:color w:val="auto"/>
                <w:sz w:val="24"/>
                <w:highlight w:val="none"/>
              </w:rPr>
            </w:pPr>
            <w:r>
              <w:rPr>
                <w:rFonts w:hint="eastAsia" w:ascii="宋体" w:hAnsi="宋体" w:cs="宋体"/>
                <w:color w:val="auto"/>
                <w:sz w:val="24"/>
                <w:highlight w:val="none"/>
              </w:rPr>
              <w:t>5</w:t>
            </w:r>
          </w:p>
        </w:tc>
        <w:tc>
          <w:tcPr>
            <w:tcW w:w="1260" w:type="dxa"/>
            <w:tcBorders>
              <w:top w:val="single" w:color="auto" w:sz="4" w:space="0"/>
              <w:left w:val="single" w:color="auto" w:sz="4" w:space="0"/>
              <w:bottom w:val="single" w:color="auto" w:sz="4" w:space="0"/>
              <w:right w:val="single" w:color="auto" w:sz="4" w:space="0"/>
            </w:tcBorders>
            <w:vAlign w:val="center"/>
          </w:tcPr>
          <w:p w14:paraId="6DA465EE">
            <w:pPr>
              <w:rPr>
                <w:rFonts w:ascii="宋体" w:hAnsi="宋体" w:cs="宋体"/>
                <w:color w:val="auto"/>
                <w:sz w:val="24"/>
                <w:highlight w:val="none"/>
              </w:rPr>
            </w:pPr>
            <w:r>
              <w:rPr>
                <w:rFonts w:hint="eastAsia" w:ascii="宋体" w:hAnsi="宋体" w:cs="宋体"/>
                <w:color w:val="auto"/>
                <w:sz w:val="24"/>
                <w:highlight w:val="none"/>
              </w:rPr>
              <w:t>移动C臂维保服务</w:t>
            </w:r>
          </w:p>
        </w:tc>
        <w:tc>
          <w:tcPr>
            <w:tcW w:w="2064" w:type="dxa"/>
            <w:tcBorders>
              <w:top w:val="single" w:color="auto" w:sz="4" w:space="0"/>
              <w:left w:val="single" w:color="auto" w:sz="4" w:space="0"/>
              <w:bottom w:val="single" w:color="auto" w:sz="4" w:space="0"/>
              <w:right w:val="single" w:color="auto" w:sz="4" w:space="0"/>
            </w:tcBorders>
            <w:vAlign w:val="center"/>
          </w:tcPr>
          <w:p w14:paraId="00EF0CCC">
            <w:pPr>
              <w:rPr>
                <w:rFonts w:ascii="宋体" w:hAnsi="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093E769">
            <w:pPr>
              <w:jc w:val="center"/>
              <w:rPr>
                <w:rFonts w:ascii="宋体" w:hAnsi="宋体" w:cs="宋体"/>
                <w:color w:val="auto"/>
                <w:sz w:val="24"/>
                <w:highlight w:val="none"/>
              </w:rPr>
            </w:pPr>
            <w:r>
              <w:rPr>
                <w:rFonts w:hint="eastAsia" w:ascii="宋体" w:hAnsi="宋体" w:cs="宋体"/>
                <w:color w:val="auto"/>
                <w:sz w:val="24"/>
                <w:highlight w:val="none"/>
                <w:lang w:val="en-US" w:eastAsia="zh-CN"/>
              </w:rPr>
              <w:t>3年</w:t>
            </w:r>
          </w:p>
        </w:tc>
        <w:tc>
          <w:tcPr>
            <w:tcW w:w="1260" w:type="dxa"/>
            <w:tcBorders>
              <w:top w:val="single" w:color="auto" w:sz="4" w:space="0"/>
              <w:left w:val="single" w:color="auto" w:sz="4" w:space="0"/>
              <w:bottom w:val="single" w:color="auto" w:sz="4" w:space="0"/>
              <w:right w:val="single" w:color="auto" w:sz="4" w:space="0"/>
            </w:tcBorders>
            <w:vAlign w:val="center"/>
          </w:tcPr>
          <w:p w14:paraId="41FBCAF2">
            <w:pPr>
              <w:rPr>
                <w:rFonts w:ascii="宋体" w:hAnsi="宋体" w:cs="宋体"/>
                <w:color w:val="auto"/>
                <w:sz w:val="24"/>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5DF6B5E5">
            <w:pPr>
              <w:rPr>
                <w:rFonts w:ascii="宋体" w:hAnsi="宋体" w:cs="宋体"/>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tcPr>
          <w:p w14:paraId="080E917A">
            <w:pPr>
              <w:rPr>
                <w:rFonts w:ascii="宋体" w:hAnsi="宋体" w:cs="宋体"/>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4D8FEE73">
            <w:pPr>
              <w:rPr>
                <w:rFonts w:ascii="宋体" w:hAnsi="宋体" w:cs="宋体"/>
                <w:color w:val="auto"/>
                <w:sz w:val="24"/>
                <w:highlight w:val="none"/>
              </w:rPr>
            </w:pPr>
          </w:p>
        </w:tc>
      </w:tr>
      <w:tr w14:paraId="7E03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3" w:type="dxa"/>
            <w:gridSpan w:val="8"/>
            <w:tcBorders>
              <w:top w:val="single" w:color="auto" w:sz="4" w:space="0"/>
              <w:left w:val="single" w:color="auto" w:sz="4" w:space="0"/>
              <w:bottom w:val="single" w:color="auto" w:sz="4" w:space="0"/>
              <w:right w:val="single" w:color="auto" w:sz="4" w:space="0"/>
            </w:tcBorders>
            <w:vAlign w:val="center"/>
          </w:tcPr>
          <w:p w14:paraId="2E8C6788">
            <w:pPr>
              <w:rPr>
                <w:rFonts w:ascii="宋体" w:hAnsi="宋体" w:cs="宋体"/>
                <w:color w:val="auto"/>
                <w:sz w:val="24"/>
                <w:highlight w:val="none"/>
              </w:rPr>
            </w:pPr>
            <w:r>
              <w:rPr>
                <w:rFonts w:hint="eastAsia" w:ascii="宋体" w:hAnsi="宋体" w:cs="宋体"/>
                <w:color w:val="auto"/>
                <w:sz w:val="24"/>
                <w:highlight w:val="none"/>
              </w:rPr>
              <w:t>报价合计（包含税费等所有费用）：（大写）人民币                （￥                元）</w:t>
            </w:r>
          </w:p>
        </w:tc>
      </w:tr>
      <w:tr w14:paraId="080E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3" w:type="dxa"/>
            <w:gridSpan w:val="8"/>
            <w:tcBorders>
              <w:top w:val="single" w:color="auto" w:sz="4" w:space="0"/>
              <w:left w:val="single" w:color="auto" w:sz="4" w:space="0"/>
              <w:bottom w:val="single" w:color="auto" w:sz="4" w:space="0"/>
              <w:right w:val="single" w:color="auto" w:sz="4" w:space="0"/>
            </w:tcBorders>
            <w:vAlign w:val="center"/>
          </w:tcPr>
          <w:p w14:paraId="679FABA1">
            <w:pPr>
              <w:rPr>
                <w:rFonts w:ascii="宋体" w:hAnsi="宋体" w:cs="宋体"/>
                <w:color w:val="auto"/>
                <w:sz w:val="24"/>
                <w:highlight w:val="none"/>
              </w:rPr>
            </w:pPr>
            <w:r>
              <w:rPr>
                <w:rFonts w:hint="eastAsia" w:ascii="宋体" w:hAnsi="宋体" w:cs="宋体"/>
                <w:color w:val="auto"/>
                <w:sz w:val="24"/>
                <w:highlight w:val="none"/>
              </w:rPr>
              <w:t>优惠及其它：</w:t>
            </w:r>
          </w:p>
        </w:tc>
      </w:tr>
    </w:tbl>
    <w:p w14:paraId="15F305AF">
      <w:pPr>
        <w:shd w:val="clear" w:color="auto" w:fill="FFFFFF" w:themeFill="background1"/>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57DC4A16">
      <w:pPr>
        <w:shd w:val="clear" w:color="auto" w:fill="FFFFFF" w:themeFill="background1"/>
        <w:snapToGrid w:val="0"/>
        <w:spacing w:before="50" w:after="50" w:line="360" w:lineRule="auto"/>
        <w:ind w:firstLine="480" w:firstLineChars="200"/>
        <w:jc w:val="left"/>
        <w:rPr>
          <w:rFonts w:ascii="宋体" w:hAnsi="宋体" w:cs="宋体"/>
          <w:b/>
          <w:color w:val="auto"/>
          <w:kern w:val="0"/>
          <w:sz w:val="24"/>
          <w:highlight w:val="none"/>
          <w:lang w:val="zh-CN"/>
        </w:rPr>
      </w:pPr>
      <w:r>
        <w:rPr>
          <w:rFonts w:hint="eastAsia" w:ascii="宋体" w:hAnsi="宋体" w:cs="宋体"/>
          <w:bCs/>
          <w:color w:val="auto"/>
          <w:kern w:val="0"/>
          <w:sz w:val="24"/>
          <w:highlight w:val="none"/>
          <w:lang w:val="zh-CN"/>
        </w:rPr>
        <w:t>1、</w:t>
      </w:r>
      <w:r>
        <w:rPr>
          <w:rFonts w:hint="eastAsia" w:ascii="宋体" w:hAnsi="宋体" w:cs="宋体"/>
          <w:color w:val="auto"/>
          <w:kern w:val="0"/>
          <w:sz w:val="24"/>
          <w:highlight w:val="none"/>
          <w:lang w:val="zh-CN"/>
        </w:rPr>
        <w:t>投标人需按本表格式填写，不得自行更改，如有多分标，按分标分别提供开标一览表，必须加盖投标人有效公章，</w:t>
      </w:r>
      <w:r>
        <w:rPr>
          <w:rFonts w:hint="eastAsia" w:ascii="宋体" w:hAnsi="宋体" w:cs="宋体"/>
          <w:b/>
          <w:color w:val="auto"/>
          <w:kern w:val="0"/>
          <w:sz w:val="24"/>
          <w:highlight w:val="none"/>
          <w:lang w:val="zh-CN"/>
        </w:rPr>
        <w:t>否则其投标作无效标处理。</w:t>
      </w:r>
    </w:p>
    <w:p w14:paraId="3A6573C2">
      <w:pPr>
        <w:shd w:val="clear" w:color="auto" w:fill="FFFFFF" w:themeFill="background1"/>
        <w:snapToGrid w:val="0"/>
        <w:spacing w:before="50" w:after="50"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5DB07551">
      <w:pPr>
        <w:shd w:val="clear" w:color="auto" w:fill="FFFFFF" w:themeFill="background1"/>
        <w:snapToGrid w:val="0"/>
        <w:spacing w:before="50" w:after="50"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3EAAD5BF">
      <w:pPr>
        <w:shd w:val="clear" w:color="auto" w:fill="FFFFFF" w:themeFill="background1"/>
        <w:snapToGrid w:val="0"/>
        <w:spacing w:before="50" w:after="50"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rPr>
        <w:t>4</w:t>
      </w:r>
      <w:r>
        <w:rPr>
          <w:rFonts w:hint="eastAsia" w:ascii="宋体" w:hAnsi="宋体" w:cs="宋体"/>
          <w:bCs/>
          <w:color w:val="auto"/>
          <w:kern w:val="0"/>
          <w:sz w:val="24"/>
          <w:highlight w:val="none"/>
          <w:lang w:val="zh-CN"/>
        </w:rPr>
        <w:t>、特别提示：采购代理机构将对项目名称和项目编号，中标人名称、地址和中标金额，主要中标标的的名称、服务范围、服务要求、服务时间、服务标准等予以公示。</w:t>
      </w:r>
    </w:p>
    <w:p w14:paraId="736801B9">
      <w:pPr>
        <w:shd w:val="clear" w:color="auto" w:fill="FFFFFF" w:themeFill="background1"/>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9D1510F">
      <w:pPr>
        <w:pStyle w:val="10"/>
        <w:shd w:val="clear" w:color="auto" w:fill="FFFFFF" w:themeFill="background1"/>
        <w:rPr>
          <w:rFonts w:ascii="宋体" w:hAnsi="宋体" w:cs="宋体"/>
          <w:color w:val="auto"/>
          <w:highlight w:val="none"/>
          <w:lang w:val="zh-CN"/>
        </w:rPr>
      </w:pPr>
    </w:p>
    <w:p w14:paraId="0B934B76">
      <w:pPr>
        <w:shd w:val="clear" w:color="auto" w:fill="FFFFFF" w:themeFill="background1"/>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投标人名称(盖公章)：</w:t>
      </w:r>
    </w:p>
    <w:p w14:paraId="44B35638">
      <w:pPr>
        <w:shd w:val="clear" w:color="auto" w:fill="FFFFFF" w:themeFill="background1"/>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4C5CF5F">
      <w:pPr>
        <w:widowControl/>
        <w:shd w:val="clear" w:color="auto" w:fill="FFFFFF" w:themeFill="background1"/>
        <w:jc w:val="left"/>
        <w:rPr>
          <w:rFonts w:ascii="宋体" w:hAnsi="宋体" w:cs="宋体"/>
          <w:color w:val="auto"/>
          <w:sz w:val="30"/>
          <w:szCs w:val="20"/>
          <w:highlight w:val="none"/>
        </w:rPr>
        <w:sectPr>
          <w:pgSz w:w="11905" w:h="16838"/>
          <w:pgMar w:top="1134" w:right="1134" w:bottom="1134" w:left="1134" w:header="850" w:footer="850" w:gutter="0"/>
          <w:cols w:space="0" w:num="1"/>
          <w:titlePg/>
          <w:docGrid w:linePitch="331" w:charSpace="0"/>
        </w:sectPr>
      </w:pPr>
    </w:p>
    <w:p w14:paraId="757E99DA">
      <w:pPr>
        <w:shd w:val="clear" w:color="auto" w:fill="FFFFFF" w:themeFill="background1"/>
        <w:snapToGrid w:val="0"/>
        <w:spacing w:before="120" w:beforeLines="50" w:after="50"/>
        <w:jc w:val="center"/>
        <w:outlineLvl w:val="1"/>
        <w:rPr>
          <w:rFonts w:ascii="宋体" w:hAnsi="宋体" w:cs="宋体"/>
          <w:b/>
          <w:bCs/>
          <w:color w:val="auto"/>
          <w:sz w:val="28"/>
          <w:szCs w:val="28"/>
          <w:highlight w:val="none"/>
        </w:rPr>
      </w:pPr>
      <w:bookmarkStart w:id="403" w:name="_Toc2783"/>
      <w:r>
        <w:rPr>
          <w:rFonts w:hint="eastAsia" w:ascii="宋体" w:hAnsi="宋体" w:cs="宋体"/>
          <w:b/>
          <w:bCs/>
          <w:color w:val="auto"/>
          <w:sz w:val="28"/>
          <w:szCs w:val="28"/>
          <w:highlight w:val="none"/>
        </w:rPr>
        <w:t>第五节 其他文书、文件格式</w:t>
      </w:r>
      <w:bookmarkEnd w:id="403"/>
    </w:p>
    <w:p w14:paraId="31DBECFA">
      <w:pPr>
        <w:pStyle w:val="13"/>
        <w:shd w:val="clear" w:color="auto" w:fill="FFFFFF" w:themeFill="background1"/>
        <w:jc w:val="center"/>
        <w:rPr>
          <w:rFonts w:hAnsi="宋体" w:cs="宋体"/>
          <w:b/>
          <w:color w:val="auto"/>
          <w:sz w:val="30"/>
          <w:szCs w:val="30"/>
          <w:highlight w:val="none"/>
        </w:rPr>
      </w:pPr>
    </w:p>
    <w:p w14:paraId="58D8E0A5">
      <w:pPr>
        <w:pStyle w:val="13"/>
        <w:shd w:val="clear" w:color="auto" w:fill="FFFFFF" w:themeFill="background1"/>
        <w:jc w:val="left"/>
        <w:rPr>
          <w:rFonts w:ascii="Times New Roman" w:hAnsi="Times New Roman"/>
          <w:b/>
          <w:color w:val="auto"/>
          <w:sz w:val="30"/>
          <w:szCs w:val="30"/>
          <w:highlight w:val="none"/>
        </w:rPr>
      </w:pPr>
      <w:r>
        <w:rPr>
          <w:rFonts w:hint="eastAsia" w:hAnsi="宋体" w:cs="宋体"/>
          <w:b/>
          <w:color w:val="auto"/>
          <w:sz w:val="28"/>
          <w:szCs w:val="28"/>
          <w:highlight w:val="none"/>
        </w:rPr>
        <w:t>1.中小企业声明函的格式：</w:t>
      </w:r>
    </w:p>
    <w:p w14:paraId="7874A8EF">
      <w:pPr>
        <w:pStyle w:val="13"/>
        <w:shd w:val="clear" w:color="auto" w:fill="FFFFFF" w:themeFill="background1"/>
        <w:jc w:val="center"/>
        <w:rPr>
          <w:rFonts w:ascii="Times New Roman" w:hAnsi="Times New Roman"/>
          <w:b/>
          <w:color w:val="auto"/>
          <w:sz w:val="30"/>
          <w:szCs w:val="30"/>
          <w:highlight w:val="none"/>
        </w:rPr>
      </w:pPr>
    </w:p>
    <w:p w14:paraId="19742263">
      <w:pPr>
        <w:pStyle w:val="13"/>
        <w:shd w:val="clear" w:color="auto" w:fill="FFFFFF" w:themeFill="background1"/>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中小企业声明函</w:t>
      </w:r>
    </w:p>
    <w:p w14:paraId="4D547626">
      <w:pPr>
        <w:pStyle w:val="11"/>
        <w:shd w:val="clear" w:color="auto" w:fill="FFFFFF" w:themeFill="background1"/>
        <w:spacing w:line="240" w:lineRule="auto"/>
        <w:ind w:firstLine="404" w:firstLineChars="200"/>
        <w:rPr>
          <w:rFonts w:ascii="Times New Roman" w:hAnsi="宋体"/>
          <w:color w:val="auto"/>
          <w:sz w:val="21"/>
          <w:szCs w:val="21"/>
          <w:highlight w:val="none"/>
        </w:rPr>
      </w:pPr>
    </w:p>
    <w:p w14:paraId="56E6AE6C">
      <w:pPr>
        <w:shd w:val="clear" w:color="auto" w:fill="FFFFFF" w:themeFill="background1"/>
        <w:autoSpaceDE w:val="0"/>
        <w:autoSpaceDN w:val="0"/>
        <w:adjustRightInd w:val="0"/>
        <w:spacing w:line="48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本公司（联合体）郑重声明，根据《政府采购促进中小企业发展管理办法》（财库﹝2020﹞46 号）的规定，本公司（联合体）参加</w:t>
      </w:r>
      <w:r>
        <w:rPr>
          <w:rFonts w:hint="eastAsia" w:ascii="宋体" w:hAnsi="宋体" w:cs="宋体"/>
          <w:i/>
          <w:color w:val="auto"/>
          <w:kern w:val="0"/>
          <w:szCs w:val="21"/>
          <w:highlight w:val="none"/>
          <w:u w:val="single"/>
        </w:rPr>
        <w:t>（单位名称）</w:t>
      </w:r>
      <w:r>
        <w:rPr>
          <w:rFonts w:hint="eastAsia" w:ascii="宋体" w:hAnsi="宋体" w:cs="宋体"/>
          <w:color w:val="auto"/>
          <w:kern w:val="0"/>
          <w:szCs w:val="21"/>
          <w:highlight w:val="none"/>
        </w:rPr>
        <w:t>的</w:t>
      </w:r>
      <w:r>
        <w:rPr>
          <w:rFonts w:hint="eastAsia" w:ascii="宋体" w:hAnsi="宋体" w:cs="宋体"/>
          <w:i/>
          <w:color w:val="auto"/>
          <w:kern w:val="0"/>
          <w:szCs w:val="21"/>
          <w:highlight w:val="none"/>
          <w:u w:val="single"/>
        </w:rPr>
        <w:t>（项目名称）</w:t>
      </w:r>
      <w:r>
        <w:rPr>
          <w:rFonts w:hint="eastAsia" w:ascii="宋体" w:hAnsi="宋体" w:cs="宋体"/>
          <w:color w:val="auto"/>
          <w:kern w:val="0"/>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D03AB94">
      <w:pPr>
        <w:shd w:val="clear" w:color="auto" w:fill="FFFFFF" w:themeFill="background1"/>
        <w:autoSpaceDE w:val="0"/>
        <w:autoSpaceDN w:val="0"/>
        <w:adjustRightInd w:val="0"/>
        <w:spacing w:line="48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r>
        <w:rPr>
          <w:rFonts w:hint="eastAsia" w:ascii="宋体" w:hAnsi="宋体" w:cs="宋体"/>
          <w:i/>
          <w:color w:val="auto"/>
          <w:kern w:val="0"/>
          <w:szCs w:val="21"/>
          <w:highlight w:val="none"/>
          <w:u w:val="single"/>
        </w:rPr>
        <w:t>（标的名称）</w:t>
      </w:r>
      <w:r>
        <w:rPr>
          <w:rFonts w:hint="eastAsia" w:ascii="宋体" w:hAnsi="宋体" w:cs="宋体"/>
          <w:color w:val="auto"/>
          <w:kern w:val="0"/>
          <w:szCs w:val="21"/>
          <w:highlight w:val="none"/>
        </w:rPr>
        <w:t xml:space="preserve"> ，属于</w:t>
      </w:r>
      <w:r>
        <w:rPr>
          <w:rFonts w:hint="eastAsia" w:ascii="宋体" w:hAnsi="宋体" w:cs="宋体"/>
          <w:i/>
          <w:color w:val="auto"/>
          <w:kern w:val="0"/>
          <w:szCs w:val="21"/>
          <w:highlight w:val="none"/>
          <w:u w:val="single"/>
        </w:rPr>
        <w:t>（采购文件中明确的所属行业）</w:t>
      </w:r>
      <w:r>
        <w:rPr>
          <w:rFonts w:hint="eastAsia" w:ascii="宋体" w:hAnsi="宋体" w:cs="宋体"/>
          <w:color w:val="auto"/>
          <w:kern w:val="0"/>
          <w:szCs w:val="21"/>
          <w:highlight w:val="none"/>
        </w:rPr>
        <w:t>；承建（承接）企业为</w:t>
      </w:r>
      <w:r>
        <w:rPr>
          <w:rFonts w:hint="eastAsia" w:ascii="宋体" w:hAnsi="宋体" w:cs="宋体"/>
          <w:i/>
          <w:color w:val="auto"/>
          <w:kern w:val="0"/>
          <w:szCs w:val="21"/>
          <w:highlight w:val="none"/>
          <w:u w:val="single"/>
        </w:rPr>
        <w:t>（企业名称）</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i/>
          <w:color w:val="auto"/>
          <w:kern w:val="0"/>
          <w:szCs w:val="21"/>
          <w:highlight w:val="none"/>
          <w:u w:val="single"/>
        </w:rPr>
        <w:t>（中型企业、小型企业、微型企业）</w:t>
      </w:r>
      <w:r>
        <w:rPr>
          <w:rFonts w:hint="eastAsia" w:ascii="宋体" w:hAnsi="宋体" w:cs="宋体"/>
          <w:color w:val="auto"/>
          <w:kern w:val="0"/>
          <w:szCs w:val="21"/>
          <w:highlight w:val="none"/>
        </w:rPr>
        <w:t>；</w:t>
      </w:r>
    </w:p>
    <w:p w14:paraId="053209FD">
      <w:pPr>
        <w:shd w:val="clear" w:color="auto" w:fill="FFFFFF" w:themeFill="background1"/>
        <w:autoSpaceDE w:val="0"/>
        <w:autoSpaceDN w:val="0"/>
        <w:adjustRightInd w:val="0"/>
        <w:spacing w:line="48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r>
        <w:rPr>
          <w:rFonts w:hint="eastAsia" w:ascii="宋体" w:hAnsi="宋体" w:cs="宋体"/>
          <w:i/>
          <w:color w:val="auto"/>
          <w:kern w:val="0"/>
          <w:szCs w:val="21"/>
          <w:highlight w:val="none"/>
          <w:u w:val="single"/>
        </w:rPr>
        <w:t>（标的名称）</w:t>
      </w:r>
      <w:r>
        <w:rPr>
          <w:rFonts w:hint="eastAsia" w:ascii="宋体" w:hAnsi="宋体" w:cs="宋体"/>
          <w:color w:val="auto"/>
          <w:kern w:val="0"/>
          <w:szCs w:val="21"/>
          <w:highlight w:val="none"/>
        </w:rPr>
        <w:t xml:space="preserve"> ，属于</w:t>
      </w:r>
      <w:r>
        <w:rPr>
          <w:rFonts w:hint="eastAsia" w:ascii="宋体" w:hAnsi="宋体" w:cs="宋体"/>
          <w:i/>
          <w:color w:val="auto"/>
          <w:kern w:val="0"/>
          <w:szCs w:val="21"/>
          <w:highlight w:val="none"/>
          <w:u w:val="single"/>
        </w:rPr>
        <w:t>（采购文件中明确的所属行业）</w:t>
      </w:r>
      <w:r>
        <w:rPr>
          <w:rFonts w:hint="eastAsia" w:ascii="宋体" w:hAnsi="宋体" w:cs="宋体"/>
          <w:color w:val="auto"/>
          <w:kern w:val="0"/>
          <w:szCs w:val="21"/>
          <w:highlight w:val="none"/>
        </w:rPr>
        <w:t>；承建（承接）企业为</w:t>
      </w:r>
      <w:r>
        <w:rPr>
          <w:rFonts w:hint="eastAsia" w:ascii="宋体" w:hAnsi="宋体" w:cs="宋体"/>
          <w:i/>
          <w:color w:val="auto"/>
          <w:kern w:val="0"/>
          <w:szCs w:val="21"/>
          <w:highlight w:val="none"/>
          <w:u w:val="single"/>
        </w:rPr>
        <w:t>（企业名称）</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i/>
          <w:color w:val="auto"/>
          <w:kern w:val="0"/>
          <w:szCs w:val="21"/>
          <w:highlight w:val="none"/>
          <w:u w:val="single"/>
        </w:rPr>
        <w:t>（中型企业、小型企业、微型企业）</w:t>
      </w:r>
      <w:r>
        <w:rPr>
          <w:rFonts w:hint="eastAsia" w:ascii="宋体" w:hAnsi="宋体" w:cs="宋体"/>
          <w:color w:val="auto"/>
          <w:kern w:val="0"/>
          <w:szCs w:val="21"/>
          <w:highlight w:val="none"/>
        </w:rPr>
        <w:t>；</w:t>
      </w:r>
    </w:p>
    <w:p w14:paraId="0E2C1F70">
      <w:pPr>
        <w:shd w:val="clear" w:color="auto" w:fill="FFFFFF" w:themeFill="background1"/>
        <w:autoSpaceDE w:val="0"/>
        <w:autoSpaceDN w:val="0"/>
        <w:adjustRightInd w:val="0"/>
        <w:spacing w:line="48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14:paraId="12E5F526">
      <w:pPr>
        <w:shd w:val="clear" w:color="auto" w:fill="FFFFFF" w:themeFill="background1"/>
        <w:autoSpaceDE w:val="0"/>
        <w:autoSpaceDN w:val="0"/>
        <w:adjustRightInd w:val="0"/>
        <w:spacing w:line="48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以上企业，不属于大企业的分支机构，不存在控股股东为大企业的情形，也不存在与大企业的负责人为同一人的情形。</w:t>
      </w:r>
    </w:p>
    <w:p w14:paraId="4461E03B">
      <w:pPr>
        <w:shd w:val="clear" w:color="auto" w:fill="FFFFFF" w:themeFill="background1"/>
        <w:autoSpaceDE w:val="0"/>
        <w:autoSpaceDN w:val="0"/>
        <w:adjustRightInd w:val="0"/>
        <w:spacing w:line="48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14:paraId="19A0A02A">
      <w:pPr>
        <w:pStyle w:val="13"/>
        <w:shd w:val="clear" w:color="auto" w:fill="FFFFFF" w:themeFill="background1"/>
        <w:spacing w:line="360" w:lineRule="auto"/>
        <w:ind w:firstLine="420" w:firstLineChars="200"/>
        <w:rPr>
          <w:rFonts w:hAnsi="宋体"/>
          <w:color w:val="auto"/>
          <w:szCs w:val="21"/>
          <w:highlight w:val="none"/>
        </w:rPr>
      </w:pPr>
    </w:p>
    <w:p w14:paraId="6CC145E6">
      <w:pPr>
        <w:pStyle w:val="13"/>
        <w:shd w:val="clear" w:color="auto" w:fill="FFFFFF" w:themeFill="background1"/>
        <w:spacing w:line="360" w:lineRule="auto"/>
        <w:ind w:firstLine="420" w:firstLineChars="200"/>
        <w:rPr>
          <w:rFonts w:hAnsi="宋体" w:cs="宋体"/>
          <w:color w:val="auto"/>
          <w:szCs w:val="21"/>
          <w:highlight w:val="none"/>
        </w:rPr>
      </w:pPr>
    </w:p>
    <w:p w14:paraId="754DB76C">
      <w:pPr>
        <w:shd w:val="clear" w:color="auto" w:fill="FFFFFF" w:themeFill="background1"/>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0506B7FC">
      <w:pPr>
        <w:shd w:val="clear" w:color="auto" w:fill="FFFFFF" w:themeFill="background1"/>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97C8F43">
      <w:pPr>
        <w:pStyle w:val="13"/>
        <w:shd w:val="clear" w:color="auto" w:fill="FFFFFF" w:themeFill="background1"/>
        <w:spacing w:line="360" w:lineRule="auto"/>
        <w:ind w:firstLine="420" w:firstLineChars="200"/>
        <w:rPr>
          <w:rFonts w:hAnsi="宋体"/>
          <w:color w:val="auto"/>
          <w:szCs w:val="21"/>
          <w:highlight w:val="none"/>
        </w:rPr>
      </w:pPr>
    </w:p>
    <w:p w14:paraId="701BC23E">
      <w:pPr>
        <w:shd w:val="clear" w:color="auto" w:fill="FFFFFF" w:themeFill="background1"/>
        <w:snapToGrid w:val="0"/>
        <w:spacing w:before="50" w:after="120" w:afterLines="50"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注：</w:t>
      </w:r>
    </w:p>
    <w:p w14:paraId="58527DAE">
      <w:pPr>
        <w:numPr>
          <w:ilvl w:val="0"/>
          <w:numId w:val="8"/>
        </w:numPr>
        <w:shd w:val="clear" w:color="auto" w:fill="FFFFFF" w:themeFill="background1"/>
        <w:snapToGrid w:val="0"/>
        <w:spacing w:before="50" w:after="12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p>
    <w:p w14:paraId="3CFCAE16">
      <w:pPr>
        <w:shd w:val="clear" w:color="auto" w:fill="FFFFFF" w:themeFill="background1"/>
        <w:snapToGrid w:val="0"/>
        <w:spacing w:before="50" w:after="120" w:afterLines="50" w:line="360" w:lineRule="auto"/>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2、请根据自己的真实情况出具《中小企业声明函》。依法享受中小企业扶持政策的，采购人或者采购代理机构在公告中标结果时，同时公告其《中小企业声明函》，接受社会监督。</w:t>
      </w:r>
    </w:p>
    <w:p w14:paraId="3D559BBA">
      <w:pPr>
        <w:pStyle w:val="11"/>
        <w:shd w:val="clear" w:color="auto" w:fill="FFFFFF" w:themeFill="background1"/>
        <w:spacing w:line="360" w:lineRule="auto"/>
        <w:ind w:firstLine="406" w:firstLineChars="200"/>
        <w:rPr>
          <w:rFonts w:hAnsi="宋体" w:cs="宋体"/>
          <w:b/>
          <w:bCs/>
          <w:color w:val="auto"/>
          <w:sz w:val="21"/>
          <w:szCs w:val="21"/>
          <w:highlight w:val="none"/>
        </w:rPr>
      </w:pPr>
      <w:r>
        <w:rPr>
          <w:rFonts w:hint="eastAsia" w:hAnsi="宋体" w:cs="宋体"/>
          <w:b/>
          <w:bCs/>
          <w:color w:val="auto"/>
          <w:sz w:val="21"/>
          <w:szCs w:val="21"/>
          <w:highlight w:val="none"/>
        </w:rPr>
        <w:t>3、本声明函主要供参加政府采购活动的中小企业填写，非中小企业无需填写。</w:t>
      </w:r>
    </w:p>
    <w:p w14:paraId="174E473F">
      <w:pPr>
        <w:pStyle w:val="11"/>
        <w:shd w:val="clear" w:color="auto" w:fill="FFFFFF" w:themeFill="background1"/>
        <w:spacing w:line="360" w:lineRule="auto"/>
        <w:ind w:firstLine="406" w:firstLineChars="200"/>
        <w:rPr>
          <w:rFonts w:hAnsi="宋体" w:cs="宋体"/>
          <w:b/>
          <w:bCs/>
          <w:color w:val="auto"/>
          <w:sz w:val="21"/>
          <w:szCs w:val="21"/>
          <w:highlight w:val="none"/>
        </w:rPr>
      </w:pPr>
      <w:r>
        <w:rPr>
          <w:rFonts w:hint="eastAsia" w:hAnsi="宋体" w:cs="宋体"/>
          <w:b/>
          <w:bCs/>
          <w:color w:val="auto"/>
          <w:sz w:val="21"/>
          <w:szCs w:val="21"/>
          <w:highlight w:val="none"/>
        </w:rPr>
        <w:t>4、小型、微型企业提供中型企业提供的服务的，视同为中型企业。</w:t>
      </w:r>
    </w:p>
    <w:p w14:paraId="23B20A17">
      <w:pPr>
        <w:pStyle w:val="15"/>
        <w:shd w:val="clear" w:color="auto" w:fill="FFFFFF" w:themeFill="background1"/>
        <w:rPr>
          <w:rFonts w:ascii="宋体" w:hAnsi="宋体" w:cs="宋体"/>
          <w:b/>
          <w:bCs/>
          <w:color w:val="auto"/>
          <w:highlight w:val="none"/>
        </w:rPr>
        <w:sectPr>
          <w:pgSz w:w="11905" w:h="16838"/>
          <w:pgMar w:top="1134" w:right="1134" w:bottom="1134" w:left="1134" w:header="850" w:footer="850" w:gutter="0"/>
          <w:cols w:space="0" w:num="1"/>
          <w:titlePg/>
          <w:docGrid w:linePitch="331" w:charSpace="0"/>
        </w:sectPr>
      </w:pPr>
    </w:p>
    <w:p w14:paraId="635659F3">
      <w:pPr>
        <w:shd w:val="clear" w:color="auto" w:fill="FFFFFF" w:themeFill="background1"/>
        <w:jc w:val="left"/>
        <w:rPr>
          <w:rFonts w:ascii="宋体" w:hAnsi="宋体" w:cs="宋体"/>
          <w:b/>
          <w:color w:val="auto"/>
          <w:sz w:val="28"/>
          <w:szCs w:val="28"/>
          <w:highlight w:val="none"/>
        </w:rPr>
      </w:pPr>
      <w:r>
        <w:rPr>
          <w:rFonts w:hint="eastAsia" w:ascii="宋体" w:hAnsi="宋体" w:cs="宋体"/>
          <w:b/>
          <w:color w:val="auto"/>
          <w:sz w:val="28"/>
          <w:szCs w:val="28"/>
          <w:highlight w:val="none"/>
        </w:rPr>
        <w:t>2.残疾人福利性单位声明函的格式：</w:t>
      </w:r>
    </w:p>
    <w:p w14:paraId="6C2C50B8">
      <w:pPr>
        <w:shd w:val="clear" w:color="auto" w:fill="FFFFFF" w:themeFill="background1"/>
        <w:jc w:val="left"/>
        <w:rPr>
          <w:rFonts w:hAnsi="宋体" w:cs="宋体"/>
          <w:b/>
          <w:color w:val="auto"/>
          <w:sz w:val="28"/>
          <w:szCs w:val="28"/>
          <w:highlight w:val="none"/>
        </w:rPr>
      </w:pPr>
    </w:p>
    <w:p w14:paraId="1E52D386">
      <w:pPr>
        <w:shd w:val="clear" w:color="auto" w:fill="FFFFFF" w:themeFill="background1"/>
        <w:jc w:val="left"/>
        <w:rPr>
          <w:rFonts w:hAnsi="宋体" w:cs="宋体"/>
          <w:b/>
          <w:color w:val="auto"/>
          <w:sz w:val="28"/>
          <w:szCs w:val="28"/>
          <w:highlight w:val="none"/>
          <w:lang w:val="en"/>
        </w:rPr>
      </w:pPr>
    </w:p>
    <w:p w14:paraId="1FA57429">
      <w:pPr>
        <w:pStyle w:val="13"/>
        <w:shd w:val="clear" w:color="auto" w:fill="FFFFFF" w:themeFill="background1"/>
        <w:spacing w:line="360" w:lineRule="auto"/>
        <w:jc w:val="center"/>
        <w:rPr>
          <w:b/>
          <w:color w:val="auto"/>
          <w:sz w:val="30"/>
          <w:szCs w:val="30"/>
          <w:highlight w:val="none"/>
        </w:rPr>
      </w:pPr>
      <w:r>
        <w:rPr>
          <w:rFonts w:hint="eastAsia"/>
          <w:b/>
          <w:color w:val="auto"/>
          <w:sz w:val="30"/>
          <w:szCs w:val="30"/>
          <w:highlight w:val="none"/>
        </w:rPr>
        <w:t>残疾人福利性单位声明函</w:t>
      </w:r>
    </w:p>
    <w:p w14:paraId="069D4492">
      <w:pPr>
        <w:pStyle w:val="13"/>
        <w:shd w:val="clear" w:color="auto" w:fill="FFFFFF" w:themeFill="background1"/>
        <w:spacing w:line="360" w:lineRule="auto"/>
        <w:jc w:val="center"/>
        <w:rPr>
          <w:b/>
          <w:color w:val="auto"/>
          <w:sz w:val="30"/>
          <w:szCs w:val="30"/>
          <w:highlight w:val="none"/>
        </w:rPr>
      </w:pPr>
    </w:p>
    <w:p w14:paraId="177BFF91">
      <w:pPr>
        <w:pStyle w:val="13"/>
        <w:shd w:val="clear" w:color="auto" w:fill="FFFFFF" w:themeFill="background1"/>
        <w:spacing w:line="360" w:lineRule="auto"/>
        <w:jc w:val="left"/>
        <w:rPr>
          <w:rFonts w:hAnsi="宋体" w:cs="宋体"/>
          <w:color w:val="auto"/>
          <w:sz w:val="24"/>
          <w:szCs w:val="24"/>
          <w:highlight w:val="none"/>
        </w:rPr>
      </w:pPr>
      <w:r>
        <w:rPr>
          <w:rFonts w:hint="eastAsia"/>
          <w:color w:val="auto"/>
          <w:sz w:val="30"/>
          <w:szCs w:val="30"/>
          <w:highlight w:val="none"/>
        </w:rPr>
        <w:t xml:space="preserve"> </w:t>
      </w: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单位的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5703EAD3">
      <w:pPr>
        <w:pStyle w:val="13"/>
        <w:shd w:val="clear" w:color="auto" w:fill="FFFFFF" w:themeFill="background1"/>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本单位对上述声明的真实性负责。如有虚假，将依法承担相应责任。</w:t>
      </w:r>
    </w:p>
    <w:p w14:paraId="004C9D1E">
      <w:pPr>
        <w:pStyle w:val="13"/>
        <w:shd w:val="clear" w:color="auto" w:fill="FFFFFF" w:themeFill="background1"/>
        <w:spacing w:line="360" w:lineRule="auto"/>
        <w:jc w:val="left"/>
        <w:rPr>
          <w:rFonts w:hAnsi="宋体" w:cs="宋体"/>
          <w:b/>
          <w:color w:val="auto"/>
          <w:szCs w:val="21"/>
          <w:highlight w:val="none"/>
        </w:rPr>
      </w:pPr>
    </w:p>
    <w:p w14:paraId="40594D45">
      <w:pPr>
        <w:pStyle w:val="13"/>
        <w:shd w:val="clear" w:color="auto" w:fill="FFFFFF" w:themeFill="background1"/>
        <w:spacing w:line="360" w:lineRule="auto"/>
        <w:jc w:val="left"/>
        <w:rPr>
          <w:rFonts w:hAnsi="宋体" w:cs="宋体"/>
          <w:b/>
          <w:color w:val="auto"/>
          <w:szCs w:val="21"/>
          <w:highlight w:val="none"/>
        </w:rPr>
      </w:pPr>
    </w:p>
    <w:p w14:paraId="503AF52B">
      <w:pPr>
        <w:shd w:val="clear" w:color="auto" w:fill="FFFFFF" w:themeFill="background1"/>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投标人名称(盖公章)：</w:t>
      </w:r>
    </w:p>
    <w:p w14:paraId="5186482E">
      <w:pPr>
        <w:shd w:val="clear" w:color="auto" w:fill="FFFFFF" w:themeFill="background1"/>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B15DBE3">
      <w:pPr>
        <w:pStyle w:val="13"/>
        <w:shd w:val="clear" w:color="auto" w:fill="FFFFFF" w:themeFill="background1"/>
        <w:spacing w:line="360" w:lineRule="auto"/>
        <w:ind w:left="5132" w:leftChars="1979" w:hanging="976" w:hangingChars="488"/>
        <w:rPr>
          <w:rFonts w:hAnsi="宋体" w:cs="宋体"/>
          <w:color w:val="auto"/>
          <w:sz w:val="20"/>
          <w:highlight w:val="none"/>
        </w:rPr>
      </w:pPr>
    </w:p>
    <w:p w14:paraId="2C8AC1FA">
      <w:pPr>
        <w:shd w:val="clear" w:color="auto" w:fill="FFFFFF" w:themeFill="background1"/>
        <w:spacing w:line="360" w:lineRule="auto"/>
        <w:ind w:right="420" w:firstLine="480" w:firstLineChars="200"/>
        <w:rPr>
          <w:rFonts w:ascii="宋体" w:hAnsi="宋体" w:cs="宋体"/>
          <w:color w:val="auto"/>
          <w:sz w:val="24"/>
          <w:highlight w:val="none"/>
        </w:rPr>
      </w:pPr>
    </w:p>
    <w:p w14:paraId="7B4E2C64">
      <w:pPr>
        <w:shd w:val="clear" w:color="auto" w:fill="FFFFFF" w:themeFill="background1"/>
        <w:spacing w:line="360" w:lineRule="auto"/>
        <w:ind w:right="420" w:firstLine="480" w:firstLineChars="200"/>
        <w:rPr>
          <w:rFonts w:ascii="宋体" w:hAnsi="宋体" w:cs="宋体"/>
          <w:color w:val="auto"/>
          <w:sz w:val="24"/>
          <w:highlight w:val="none"/>
        </w:rPr>
      </w:pPr>
    </w:p>
    <w:p w14:paraId="2DDB9BB4">
      <w:pPr>
        <w:shd w:val="clear" w:color="auto" w:fill="FFFFFF" w:themeFill="background1"/>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FC2A93E">
      <w:pPr>
        <w:pStyle w:val="15"/>
        <w:shd w:val="clear" w:color="auto" w:fill="FFFFFF" w:themeFill="background1"/>
        <w:rPr>
          <w:rFonts w:ascii="宋体" w:hAnsi="宋体" w:cs="宋体"/>
          <w:color w:val="auto"/>
          <w:kern w:val="0"/>
          <w:sz w:val="28"/>
          <w:szCs w:val="28"/>
          <w:highlight w:val="none"/>
        </w:rPr>
      </w:pPr>
    </w:p>
    <w:p w14:paraId="54D307F3">
      <w:pPr>
        <w:pStyle w:val="15"/>
        <w:shd w:val="clear" w:color="auto" w:fill="FFFFFF" w:themeFill="background1"/>
        <w:rPr>
          <w:rFonts w:ascii="宋体" w:hAnsi="宋体" w:cs="宋体"/>
          <w:color w:val="auto"/>
          <w:kern w:val="0"/>
          <w:sz w:val="28"/>
          <w:szCs w:val="28"/>
          <w:highlight w:val="none"/>
        </w:rPr>
      </w:pPr>
    </w:p>
    <w:p w14:paraId="15BB3119">
      <w:pPr>
        <w:pStyle w:val="15"/>
        <w:shd w:val="clear" w:color="auto" w:fill="FFFFFF" w:themeFill="background1"/>
        <w:rPr>
          <w:rFonts w:ascii="宋体" w:hAnsi="宋体" w:cs="宋体"/>
          <w:color w:val="auto"/>
          <w:kern w:val="0"/>
          <w:sz w:val="28"/>
          <w:szCs w:val="28"/>
          <w:highlight w:val="none"/>
        </w:rPr>
      </w:pPr>
    </w:p>
    <w:p w14:paraId="12A9D73F">
      <w:pPr>
        <w:pStyle w:val="15"/>
        <w:shd w:val="clear" w:color="auto" w:fill="FFFFFF" w:themeFill="background1"/>
        <w:rPr>
          <w:rFonts w:ascii="宋体" w:hAnsi="宋体" w:cs="宋体"/>
          <w:color w:val="auto"/>
          <w:kern w:val="0"/>
          <w:sz w:val="28"/>
          <w:szCs w:val="28"/>
          <w:highlight w:val="none"/>
        </w:rPr>
      </w:pPr>
    </w:p>
    <w:p w14:paraId="165359E6">
      <w:pPr>
        <w:pStyle w:val="15"/>
        <w:shd w:val="clear" w:color="auto" w:fill="FFFFFF" w:themeFill="background1"/>
        <w:rPr>
          <w:rFonts w:ascii="宋体" w:hAnsi="宋体" w:cs="宋体"/>
          <w:color w:val="auto"/>
          <w:kern w:val="0"/>
          <w:sz w:val="28"/>
          <w:szCs w:val="28"/>
          <w:highlight w:val="none"/>
        </w:rPr>
      </w:pPr>
    </w:p>
    <w:p w14:paraId="7BA2D9E6">
      <w:pPr>
        <w:pStyle w:val="15"/>
        <w:shd w:val="clear" w:color="auto" w:fill="FFFFFF" w:themeFill="background1"/>
        <w:rPr>
          <w:rFonts w:ascii="宋体" w:hAnsi="宋体" w:cs="宋体"/>
          <w:color w:val="auto"/>
          <w:kern w:val="0"/>
          <w:sz w:val="28"/>
          <w:szCs w:val="28"/>
          <w:highlight w:val="none"/>
        </w:rPr>
      </w:pPr>
    </w:p>
    <w:p w14:paraId="03562A04">
      <w:pPr>
        <w:pStyle w:val="15"/>
        <w:shd w:val="clear" w:color="auto" w:fill="FFFFFF" w:themeFill="background1"/>
        <w:rPr>
          <w:rFonts w:ascii="宋体" w:hAnsi="宋体" w:cs="宋体"/>
          <w:color w:val="auto"/>
          <w:kern w:val="0"/>
          <w:sz w:val="28"/>
          <w:szCs w:val="28"/>
          <w:highlight w:val="none"/>
        </w:rPr>
      </w:pPr>
    </w:p>
    <w:p w14:paraId="512EC431">
      <w:pPr>
        <w:pStyle w:val="15"/>
        <w:shd w:val="clear" w:color="auto" w:fill="FFFFFF" w:themeFill="background1"/>
        <w:rPr>
          <w:rFonts w:ascii="宋体" w:hAnsi="宋体" w:cs="宋体"/>
          <w:color w:val="auto"/>
          <w:kern w:val="0"/>
          <w:sz w:val="28"/>
          <w:szCs w:val="28"/>
          <w:highlight w:val="none"/>
        </w:rPr>
      </w:pPr>
    </w:p>
    <w:p w14:paraId="60272A5A">
      <w:pPr>
        <w:pStyle w:val="15"/>
        <w:shd w:val="clear" w:color="auto" w:fill="FFFFFF" w:themeFill="background1"/>
        <w:rPr>
          <w:rFonts w:ascii="宋体" w:hAnsi="宋体" w:cs="宋体"/>
          <w:color w:val="auto"/>
          <w:kern w:val="0"/>
          <w:sz w:val="28"/>
          <w:szCs w:val="28"/>
          <w:highlight w:val="none"/>
        </w:rPr>
      </w:pPr>
    </w:p>
    <w:p w14:paraId="137127ED">
      <w:pPr>
        <w:pStyle w:val="15"/>
        <w:shd w:val="clear" w:color="auto" w:fill="FFFFFF" w:themeFill="background1"/>
        <w:rPr>
          <w:rFonts w:ascii="宋体" w:hAnsi="宋体" w:cs="宋体"/>
          <w:color w:val="auto"/>
          <w:kern w:val="0"/>
          <w:sz w:val="28"/>
          <w:szCs w:val="28"/>
          <w:highlight w:val="none"/>
        </w:rPr>
      </w:pPr>
    </w:p>
    <w:p w14:paraId="3F9F048C">
      <w:pPr>
        <w:pStyle w:val="15"/>
        <w:shd w:val="clear" w:color="auto" w:fill="FFFFFF" w:themeFill="background1"/>
        <w:rPr>
          <w:rFonts w:ascii="宋体" w:hAnsi="宋体" w:cs="宋体"/>
          <w:color w:val="auto"/>
          <w:kern w:val="0"/>
          <w:sz w:val="28"/>
          <w:szCs w:val="28"/>
          <w:highlight w:val="none"/>
        </w:rPr>
      </w:pPr>
    </w:p>
    <w:p w14:paraId="0410A632">
      <w:pPr>
        <w:pStyle w:val="15"/>
        <w:shd w:val="clear" w:color="auto" w:fill="FFFFFF" w:themeFill="background1"/>
        <w:rPr>
          <w:rFonts w:ascii="宋体" w:hAnsi="宋体" w:cs="宋体"/>
          <w:color w:val="auto"/>
          <w:kern w:val="0"/>
          <w:sz w:val="28"/>
          <w:szCs w:val="28"/>
          <w:highlight w:val="none"/>
        </w:rPr>
      </w:pPr>
      <w:r>
        <w:rPr>
          <w:rFonts w:hint="eastAsia" w:ascii="宋体" w:hAnsi="宋体" w:cs="宋体"/>
          <w:color w:val="auto"/>
          <w:kern w:val="0"/>
          <w:sz w:val="28"/>
          <w:szCs w:val="28"/>
          <w:highlight w:val="none"/>
        </w:rPr>
        <w:t>3.广西壮族自治区政府采购项目合同验收书的格式：</w:t>
      </w:r>
    </w:p>
    <w:p w14:paraId="356C689D">
      <w:pPr>
        <w:pStyle w:val="15"/>
        <w:shd w:val="clear" w:color="auto" w:fill="FFFFFF" w:themeFill="background1"/>
        <w:rPr>
          <w:rFonts w:ascii="宋体" w:hAnsi="宋体" w:cs="宋体"/>
          <w:color w:val="auto"/>
          <w:kern w:val="0"/>
          <w:sz w:val="28"/>
          <w:szCs w:val="28"/>
          <w:highlight w:val="none"/>
        </w:rPr>
      </w:pPr>
    </w:p>
    <w:p w14:paraId="0169766F">
      <w:pPr>
        <w:shd w:val="clear" w:color="auto" w:fill="FFFFFF" w:themeFill="background1"/>
        <w:spacing w:line="480" w:lineRule="atLeast"/>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广西壮族自治区政府采购项目合同验收书</w:t>
      </w:r>
    </w:p>
    <w:p w14:paraId="15E20D12">
      <w:pPr>
        <w:shd w:val="clear" w:color="auto" w:fill="FFFFFF" w:themeFill="background1"/>
        <w:spacing w:line="480" w:lineRule="atLeast"/>
        <w:jc w:val="center"/>
        <w:rPr>
          <w:rFonts w:ascii="宋体" w:hAnsi="宋体" w:cs="宋体"/>
          <w:color w:val="auto"/>
          <w:kern w:val="0"/>
          <w:sz w:val="32"/>
          <w:szCs w:val="32"/>
          <w:highlight w:val="none"/>
        </w:rPr>
      </w:pPr>
    </w:p>
    <w:p w14:paraId="39BE226F">
      <w:pPr>
        <w:shd w:val="clear" w:color="auto" w:fill="FFFFFF" w:themeFill="background1"/>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政府采购项目中标（或者成交）投标人（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23"/>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54DCE74F">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4428BE8B">
            <w:pPr>
              <w:shd w:val="clear" w:color="auto" w:fill="FFFFFF" w:themeFill="background1"/>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vAlign w:val="center"/>
          </w:tcPr>
          <w:p w14:paraId="6669AFFE">
            <w:pPr>
              <w:shd w:val="clear" w:color="auto" w:fill="FFFFFF" w:themeFill="background1"/>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0F1D1138">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515333EA">
            <w:pPr>
              <w:shd w:val="clear" w:color="auto" w:fill="FFFFFF" w:themeFill="background1"/>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14:paraId="26F545FB">
            <w:pPr>
              <w:shd w:val="clear" w:color="auto" w:fill="FFFFFF" w:themeFill="background1"/>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vAlign w:val="center"/>
          </w:tcPr>
          <w:p w14:paraId="3A3FCF2A">
            <w:pPr>
              <w:shd w:val="clear" w:color="auto" w:fill="FFFFFF" w:themeFill="background1"/>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630C2EB5">
            <w:pPr>
              <w:shd w:val="clear" w:color="auto" w:fill="FFFFFF" w:themeFill="background1"/>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2354" w:type="dxa"/>
            <w:tcBorders>
              <w:top w:val="nil"/>
              <w:left w:val="nil"/>
              <w:bottom w:val="single" w:color="auto" w:sz="8" w:space="0"/>
              <w:right w:val="single" w:color="auto" w:sz="8" w:space="0"/>
            </w:tcBorders>
            <w:vAlign w:val="center"/>
          </w:tcPr>
          <w:p w14:paraId="70A7044B">
            <w:pPr>
              <w:shd w:val="clear" w:color="auto" w:fill="FFFFFF" w:themeFill="background1"/>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4C5F26C0">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045A7ED0">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74C7B363">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FBB7072">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3227F1B8">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6EE596E3">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r>
      <w:tr w14:paraId="7EF86F90">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3613540A">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4B9592B0">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5454066">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A5E571F">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05DD076A">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r>
      <w:tr w14:paraId="18CECC1E">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4C032DF">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5445A427">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53997B8">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158E9E7B">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2FCAD7E7">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r>
      <w:tr w14:paraId="2D09B546">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3D2F3484">
            <w:pPr>
              <w:shd w:val="clear" w:color="auto" w:fill="FFFFFF" w:themeFill="background1"/>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245127D2">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639FEC85">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r>
      <w:tr w14:paraId="65A5A8FD">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4BF2FA81">
            <w:pPr>
              <w:shd w:val="clear" w:color="auto" w:fill="FFFFFF" w:themeFill="background1"/>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亿 仟 佰 拾 万 仟 佰 拾 元</w:t>
            </w:r>
          </w:p>
        </w:tc>
      </w:tr>
      <w:tr w14:paraId="79DF855C">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0F1440D6">
            <w:pPr>
              <w:shd w:val="clear" w:color="auto" w:fill="FFFFFF" w:themeFill="background1"/>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14:paraId="3D375C1E">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1328F8C8">
            <w:pPr>
              <w:shd w:val="clear" w:color="auto" w:fill="FFFFFF" w:themeFill="background1"/>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vAlign w:val="center"/>
          </w:tcPr>
          <w:p w14:paraId="482D2392">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r>
      <w:tr w14:paraId="7D047163">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5683ACB3">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14:paraId="1AFC3650">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2E4E1519">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c>
          <w:tcPr>
            <w:tcW w:w="3039" w:type="dxa"/>
            <w:gridSpan w:val="2"/>
            <w:tcBorders>
              <w:top w:val="nil"/>
              <w:left w:val="nil"/>
              <w:bottom w:val="single" w:color="auto" w:sz="8" w:space="0"/>
              <w:right w:val="single" w:color="auto" w:sz="8" w:space="0"/>
            </w:tcBorders>
            <w:vAlign w:val="center"/>
          </w:tcPr>
          <w:p w14:paraId="7F3671FF">
            <w:pPr>
              <w:shd w:val="clear" w:color="auto" w:fill="FFFFFF" w:themeFill="background1"/>
              <w:spacing w:before="100" w:beforeAutospacing="1" w:after="100" w:afterAutospacing="1" w:line="240" w:lineRule="atLeast"/>
              <w:jc w:val="center"/>
              <w:rPr>
                <w:rFonts w:ascii="宋体" w:hAnsi="宋体" w:cs="宋体"/>
                <w:color w:val="auto"/>
                <w:kern w:val="0"/>
                <w:szCs w:val="21"/>
                <w:highlight w:val="none"/>
              </w:rPr>
            </w:pPr>
          </w:p>
        </w:tc>
      </w:tr>
      <w:tr w14:paraId="6549F907">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263C87">
            <w:pPr>
              <w:shd w:val="clear" w:color="auto" w:fill="FFFFFF" w:themeFill="background1"/>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34E0E7F1">
            <w:pPr>
              <w:shd w:val="clear" w:color="auto" w:fill="FFFFFF" w:themeFill="background1"/>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05840893">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3D4BC1">
            <w:pPr>
              <w:shd w:val="clear" w:color="auto" w:fill="FFFFFF" w:themeFill="background1"/>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vAlign w:val="center"/>
          </w:tcPr>
          <w:p w14:paraId="29B5FD2C">
            <w:pPr>
              <w:shd w:val="clear" w:color="auto" w:fill="FFFFFF" w:themeFill="background1"/>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71E1CF72">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53595D72">
            <w:pPr>
              <w:shd w:val="clear" w:color="auto" w:fill="FFFFFF" w:themeFill="background1"/>
              <w:jc w:val="left"/>
              <w:rPr>
                <w:rFonts w:ascii="宋体" w:hAnsi="宋体" w:cs="宋体"/>
                <w:color w:val="auto"/>
                <w:kern w:val="0"/>
                <w:szCs w:val="21"/>
                <w:highlight w:val="none"/>
              </w:rPr>
            </w:pPr>
          </w:p>
        </w:tc>
        <w:tc>
          <w:tcPr>
            <w:tcW w:w="8040" w:type="dxa"/>
            <w:gridSpan w:val="7"/>
            <w:tcBorders>
              <w:top w:val="nil"/>
              <w:left w:val="nil"/>
              <w:bottom w:val="single" w:color="auto" w:sz="8" w:space="0"/>
              <w:right w:val="single" w:color="auto" w:sz="8" w:space="0"/>
            </w:tcBorders>
            <w:vAlign w:val="center"/>
          </w:tcPr>
          <w:p w14:paraId="716B87BE">
            <w:pPr>
              <w:shd w:val="clear" w:color="auto" w:fill="FFFFFF" w:themeFill="background1"/>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677D748">
            <w:pPr>
              <w:shd w:val="clear" w:color="auto" w:fill="FFFFFF" w:themeFill="background1"/>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3A88F337">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FC3661">
            <w:pPr>
              <w:shd w:val="clear" w:color="auto" w:fill="FFFFFF" w:themeFill="background1"/>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002C2B39">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B340E4">
            <w:pPr>
              <w:shd w:val="clear" w:color="auto" w:fill="FFFFFF" w:themeFill="background1"/>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6134EC1C">
            <w:pPr>
              <w:shd w:val="clear" w:color="auto" w:fill="FFFFFF" w:themeFill="background1"/>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569D8B0F">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44B5B09C">
            <w:pPr>
              <w:shd w:val="clear" w:color="auto" w:fill="FFFFFF" w:themeFill="background1"/>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中标或者成交人负责人签字或者盖章：</w:t>
            </w:r>
          </w:p>
          <w:p w14:paraId="028695CE">
            <w:pPr>
              <w:shd w:val="clear" w:color="auto" w:fill="FFFFFF" w:themeFill="background1"/>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vAlign w:val="center"/>
          </w:tcPr>
          <w:p w14:paraId="1684C9AC">
            <w:pPr>
              <w:shd w:val="clear" w:color="auto" w:fill="FFFFFF" w:themeFill="background1"/>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6AE402D4">
            <w:pPr>
              <w:shd w:val="clear" w:color="auto" w:fill="FFFFFF" w:themeFill="background1"/>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3E836F4A">
      <w:pPr>
        <w:pStyle w:val="15"/>
        <w:shd w:val="clear" w:color="auto" w:fill="FFFFFF" w:themeFill="background1"/>
        <w:rPr>
          <w:rFonts w:ascii="宋体" w:hAnsi="宋体" w:cs="宋体"/>
          <w:color w:val="auto"/>
          <w:kern w:val="0"/>
          <w:sz w:val="28"/>
          <w:szCs w:val="28"/>
          <w:highlight w:val="none"/>
        </w:rPr>
        <w:sectPr>
          <w:pgSz w:w="11905" w:h="16838"/>
          <w:pgMar w:top="1134" w:right="1134" w:bottom="1134" w:left="1134" w:header="850" w:footer="850" w:gutter="0"/>
          <w:cols w:space="0" w:num="1"/>
          <w:titlePg/>
          <w:docGrid w:linePitch="331" w:charSpace="0"/>
        </w:sectPr>
      </w:pPr>
      <w:r>
        <w:rPr>
          <w:rFonts w:hint="eastAsia" w:ascii="宋体" w:hAnsi="宋体" w:cs="宋体"/>
          <w:color w:val="auto"/>
          <w:highlight w:val="none"/>
        </w:rPr>
        <w:br w:type="page"/>
      </w:r>
    </w:p>
    <w:p w14:paraId="09EA2090">
      <w:pPr>
        <w:shd w:val="clear" w:color="auto" w:fill="FFFFFF" w:themeFill="background1"/>
        <w:jc w:val="left"/>
        <w:rPr>
          <w:rFonts w:ascii="宋体" w:hAnsi="宋体" w:cs="宋体"/>
          <w:color w:val="auto"/>
          <w:highlight w:val="none"/>
        </w:rPr>
      </w:pPr>
      <w:r>
        <w:rPr>
          <w:rFonts w:hint="eastAsia" w:ascii="宋体" w:hAnsi="宋体" w:cs="宋体"/>
          <w:color w:val="auto"/>
          <w:sz w:val="28"/>
          <w:szCs w:val="28"/>
          <w:highlight w:val="none"/>
        </w:rPr>
        <w:t>4.政府采购项目履约保证金退付意见书的格式：</w:t>
      </w:r>
    </w:p>
    <w:p w14:paraId="4376FA0F">
      <w:pPr>
        <w:shd w:val="clear" w:color="auto" w:fill="FFFFFF" w:themeFill="background1"/>
        <w:jc w:val="center"/>
        <w:rPr>
          <w:rFonts w:ascii="宋体" w:hAnsi="宋体" w:cs="宋体"/>
          <w:color w:val="auto"/>
          <w:sz w:val="32"/>
          <w:szCs w:val="32"/>
          <w:highlight w:val="none"/>
        </w:rPr>
      </w:pPr>
    </w:p>
    <w:p w14:paraId="4FA8BDE2">
      <w:pPr>
        <w:shd w:val="clear" w:color="auto" w:fill="FFFFFF" w:themeFill="background1"/>
        <w:jc w:val="center"/>
        <w:rPr>
          <w:rFonts w:ascii="宋体" w:hAnsi="宋体" w:cs="宋体"/>
          <w:color w:val="auto"/>
          <w:sz w:val="32"/>
          <w:szCs w:val="32"/>
          <w:highlight w:val="none"/>
        </w:rPr>
      </w:pPr>
      <w:r>
        <w:rPr>
          <w:rFonts w:hint="eastAsia" w:ascii="宋体" w:hAnsi="宋体" w:cs="宋体"/>
          <w:color w:val="auto"/>
          <w:sz w:val="32"/>
          <w:szCs w:val="32"/>
          <w:highlight w:val="none"/>
        </w:rPr>
        <w:t>政府采购项目履约保证金退付意见书（参考）</w:t>
      </w:r>
    </w:p>
    <w:p w14:paraId="361FFA92">
      <w:pPr>
        <w:shd w:val="clear" w:color="auto" w:fill="FFFFFF" w:themeFill="background1"/>
        <w:jc w:val="center"/>
        <w:rPr>
          <w:rFonts w:ascii="宋体" w:hAnsi="宋体" w:cs="宋体"/>
          <w:color w:val="auto"/>
          <w:sz w:val="36"/>
          <w:szCs w:val="36"/>
          <w:highlight w:val="none"/>
        </w:rPr>
      </w:pPr>
    </w:p>
    <w:tbl>
      <w:tblPr>
        <w:tblStyle w:val="23"/>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61A8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20475F6B">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供</w:t>
            </w:r>
          </w:p>
          <w:p w14:paraId="35E6701D">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应</w:t>
            </w:r>
          </w:p>
          <w:p w14:paraId="5F19ED06">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商</w:t>
            </w:r>
          </w:p>
          <w:p w14:paraId="28FFD39D">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申</w:t>
            </w:r>
          </w:p>
          <w:p w14:paraId="0103D427">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请</w:t>
            </w:r>
          </w:p>
        </w:tc>
        <w:tc>
          <w:tcPr>
            <w:tcW w:w="8456" w:type="dxa"/>
            <w:vAlign w:val="center"/>
          </w:tcPr>
          <w:p w14:paraId="6EFF0168">
            <w:pPr>
              <w:shd w:val="clear" w:color="auto" w:fill="FFFFFF" w:themeFill="background1"/>
              <w:rPr>
                <w:rFonts w:ascii="宋体" w:hAnsi="宋体" w:cs="宋体"/>
                <w:color w:val="auto"/>
                <w:sz w:val="24"/>
                <w:highlight w:val="none"/>
              </w:rPr>
            </w:pPr>
            <w:r>
              <w:rPr>
                <w:rFonts w:hint="eastAsia" w:ascii="宋体" w:hAnsi="宋体" w:cs="宋体"/>
                <w:color w:val="auto"/>
                <w:sz w:val="24"/>
                <w:highlight w:val="none"/>
              </w:rPr>
              <w:t>项目编号：</w:t>
            </w:r>
          </w:p>
        </w:tc>
      </w:tr>
      <w:tr w14:paraId="23CD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78F3D999">
            <w:pPr>
              <w:shd w:val="clear" w:color="auto" w:fill="FFFFFF" w:themeFill="background1"/>
              <w:rPr>
                <w:rFonts w:ascii="宋体" w:hAnsi="宋体" w:cs="宋体"/>
                <w:color w:val="auto"/>
                <w:sz w:val="24"/>
                <w:highlight w:val="none"/>
              </w:rPr>
            </w:pPr>
          </w:p>
        </w:tc>
        <w:tc>
          <w:tcPr>
            <w:tcW w:w="8456" w:type="dxa"/>
            <w:vAlign w:val="center"/>
          </w:tcPr>
          <w:p w14:paraId="7C73BE38">
            <w:pPr>
              <w:shd w:val="clear" w:color="auto" w:fill="FFFFFF" w:themeFill="background1"/>
              <w:rPr>
                <w:rFonts w:ascii="宋体" w:hAnsi="宋体" w:cs="宋体"/>
                <w:color w:val="auto"/>
                <w:sz w:val="24"/>
                <w:highlight w:val="none"/>
              </w:rPr>
            </w:pPr>
            <w:r>
              <w:rPr>
                <w:rFonts w:hint="eastAsia" w:ascii="宋体" w:hAnsi="宋体" w:cs="宋体"/>
                <w:color w:val="auto"/>
                <w:sz w:val="24"/>
                <w:highlight w:val="none"/>
              </w:rPr>
              <w:t>项目名称：</w:t>
            </w:r>
          </w:p>
        </w:tc>
      </w:tr>
      <w:tr w14:paraId="6FCF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4522568D">
            <w:pPr>
              <w:shd w:val="clear" w:color="auto" w:fill="FFFFFF" w:themeFill="background1"/>
              <w:rPr>
                <w:rFonts w:ascii="宋体" w:hAnsi="宋体" w:cs="宋体"/>
                <w:color w:val="auto"/>
                <w:sz w:val="24"/>
                <w:highlight w:val="none"/>
              </w:rPr>
            </w:pPr>
          </w:p>
        </w:tc>
        <w:tc>
          <w:tcPr>
            <w:tcW w:w="8456" w:type="dxa"/>
          </w:tcPr>
          <w:p w14:paraId="38BEB22A">
            <w:pPr>
              <w:shd w:val="clear" w:color="auto" w:fill="FFFFFF" w:themeFill="background1"/>
              <w:rPr>
                <w:rFonts w:ascii="宋体" w:hAnsi="宋体" w:cs="宋体"/>
                <w:color w:val="auto"/>
                <w:sz w:val="24"/>
                <w:highlight w:val="none"/>
              </w:rPr>
            </w:pPr>
            <w:r>
              <w:rPr>
                <w:rFonts w:hint="eastAsia" w:ascii="宋体" w:hAnsi="宋体" w:cs="宋体"/>
                <w:color w:val="auto"/>
                <w:sz w:val="24"/>
                <w:highlight w:val="none"/>
              </w:rPr>
              <w:t xml:space="preserve">  </w:t>
            </w:r>
          </w:p>
          <w:p w14:paraId="2DAEEFFC">
            <w:pPr>
              <w:shd w:val="clear" w:color="auto" w:fill="FFFFFF" w:themeFill="background1"/>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该项目已于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日验收并交付使用。根据合同规定，该项目的履约保证金期限于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日已满，请将履约保证金（大写）</w:t>
            </w:r>
            <w:r>
              <w:rPr>
                <w:rFonts w:hint="eastAsia" w:ascii="宋体" w:hAnsi="宋体" w:cs="宋体"/>
                <w:color w:val="auto"/>
                <w:sz w:val="24"/>
                <w:highlight w:val="none"/>
                <w:u w:val="single"/>
              </w:rPr>
              <w:t xml:space="preserve">人民币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退付到达以下账户。</w:t>
            </w:r>
          </w:p>
          <w:p w14:paraId="59385D82">
            <w:pPr>
              <w:shd w:val="clear" w:color="auto" w:fill="FFFFFF" w:themeFill="background1"/>
              <w:spacing w:line="400" w:lineRule="exact"/>
              <w:ind w:firstLine="705"/>
              <w:rPr>
                <w:rFonts w:ascii="宋体" w:hAnsi="宋体" w:cs="宋体"/>
                <w:color w:val="auto"/>
                <w:sz w:val="24"/>
                <w:highlight w:val="none"/>
              </w:rPr>
            </w:pPr>
            <w:r>
              <w:rPr>
                <w:rFonts w:hint="eastAsia" w:ascii="宋体" w:hAnsi="宋体" w:cs="宋体"/>
                <w:color w:val="auto"/>
                <w:sz w:val="24"/>
                <w:highlight w:val="none"/>
              </w:rPr>
              <w:t>单位名称：</w:t>
            </w:r>
          </w:p>
          <w:p w14:paraId="51AE1235">
            <w:pPr>
              <w:shd w:val="clear" w:color="auto" w:fill="FFFFFF" w:themeFill="background1"/>
              <w:spacing w:line="400" w:lineRule="exact"/>
              <w:ind w:firstLine="705"/>
              <w:rPr>
                <w:rFonts w:ascii="宋体" w:hAnsi="宋体" w:cs="宋体"/>
                <w:color w:val="auto"/>
                <w:sz w:val="24"/>
                <w:highlight w:val="none"/>
              </w:rPr>
            </w:pPr>
            <w:r>
              <w:rPr>
                <w:rFonts w:hint="eastAsia" w:ascii="宋体" w:hAnsi="宋体" w:cs="宋体"/>
                <w:color w:val="auto"/>
                <w:sz w:val="24"/>
                <w:highlight w:val="none"/>
              </w:rPr>
              <w:t>开户银行：</w:t>
            </w:r>
          </w:p>
          <w:p w14:paraId="5C228C42">
            <w:pPr>
              <w:shd w:val="clear" w:color="auto" w:fill="FFFFFF" w:themeFill="background1"/>
              <w:spacing w:line="400" w:lineRule="exact"/>
              <w:ind w:firstLine="705"/>
              <w:rPr>
                <w:rFonts w:ascii="宋体" w:hAnsi="宋体" w:cs="宋体"/>
                <w:color w:val="auto"/>
                <w:sz w:val="24"/>
                <w:highlight w:val="none"/>
              </w:rPr>
            </w:pPr>
            <w:r>
              <w:rPr>
                <w:rFonts w:hint="eastAsia" w:ascii="宋体" w:hAnsi="宋体" w:cs="宋体"/>
                <w:color w:val="auto"/>
                <w:sz w:val="24"/>
                <w:highlight w:val="none"/>
              </w:rPr>
              <w:t>账   号：</w:t>
            </w:r>
          </w:p>
          <w:p w14:paraId="17F755A4">
            <w:pPr>
              <w:shd w:val="clear" w:color="auto" w:fill="FFFFFF" w:themeFill="background1"/>
              <w:spacing w:line="400" w:lineRule="exact"/>
              <w:rPr>
                <w:rFonts w:ascii="宋体" w:hAnsi="宋体" w:cs="宋体"/>
                <w:color w:val="auto"/>
                <w:sz w:val="24"/>
                <w:highlight w:val="none"/>
              </w:rPr>
            </w:pPr>
            <w:r>
              <w:rPr>
                <w:rFonts w:hint="eastAsia" w:ascii="宋体" w:hAnsi="宋体" w:cs="宋体"/>
                <w:color w:val="auto"/>
                <w:sz w:val="24"/>
                <w:highlight w:val="none"/>
              </w:rPr>
              <w:t>联系人及电话：</w:t>
            </w:r>
          </w:p>
          <w:p w14:paraId="6DCF41D9">
            <w:pPr>
              <w:shd w:val="clear" w:color="auto" w:fill="FFFFFF" w:themeFill="background1"/>
              <w:spacing w:line="400" w:lineRule="exact"/>
              <w:rPr>
                <w:rFonts w:ascii="宋体" w:hAnsi="宋体" w:cs="宋体"/>
                <w:color w:val="auto"/>
                <w:sz w:val="24"/>
                <w:highlight w:val="none"/>
              </w:rPr>
            </w:pPr>
          </w:p>
          <w:p w14:paraId="2C4DE068">
            <w:pPr>
              <w:shd w:val="clear" w:color="auto" w:fill="FFFFFF" w:themeFill="background1"/>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投标人签章：</w:t>
            </w:r>
          </w:p>
          <w:p w14:paraId="63F6372B">
            <w:pPr>
              <w:shd w:val="clear" w:color="auto" w:fill="FFFFFF" w:themeFill="background1"/>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5F3B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7C516A5A">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采</w:t>
            </w:r>
          </w:p>
          <w:p w14:paraId="5263E91E">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购</w:t>
            </w:r>
          </w:p>
          <w:p w14:paraId="5D8691C5">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人</w:t>
            </w:r>
          </w:p>
          <w:p w14:paraId="6BFD5C31">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意</w:t>
            </w:r>
          </w:p>
          <w:p w14:paraId="083CC18D">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见</w:t>
            </w:r>
          </w:p>
        </w:tc>
        <w:tc>
          <w:tcPr>
            <w:tcW w:w="8456" w:type="dxa"/>
          </w:tcPr>
          <w:p w14:paraId="5597C77C">
            <w:pPr>
              <w:shd w:val="clear" w:color="auto" w:fill="FFFFFF" w:themeFill="background1"/>
              <w:rPr>
                <w:rFonts w:ascii="宋体" w:hAnsi="宋体" w:cs="宋体"/>
                <w:color w:val="auto"/>
                <w:sz w:val="24"/>
                <w:highlight w:val="none"/>
              </w:rPr>
            </w:pPr>
          </w:p>
          <w:p w14:paraId="64C74786">
            <w:pPr>
              <w:shd w:val="clear" w:color="auto" w:fill="FFFFFF" w:themeFill="background1"/>
              <w:rPr>
                <w:rFonts w:ascii="宋体" w:hAnsi="宋体" w:cs="宋体"/>
                <w:color w:val="auto"/>
                <w:sz w:val="24"/>
                <w:highlight w:val="none"/>
              </w:rPr>
            </w:pPr>
            <w:r>
              <w:rPr>
                <w:rFonts w:hint="eastAsia" w:ascii="宋体" w:hAnsi="宋体" w:cs="宋体"/>
                <w:color w:val="auto"/>
                <w:sz w:val="24"/>
                <w:highlight w:val="none"/>
              </w:rPr>
              <w:t>退付意见：（是否同意退付履约保证金及退付金额）</w:t>
            </w:r>
          </w:p>
          <w:p w14:paraId="714EC8C3">
            <w:pPr>
              <w:shd w:val="clear" w:color="auto" w:fill="FFFFFF" w:themeFill="background1"/>
              <w:rPr>
                <w:rFonts w:ascii="宋体" w:hAnsi="宋体" w:cs="宋体"/>
                <w:color w:val="auto"/>
                <w:sz w:val="24"/>
                <w:highlight w:val="none"/>
              </w:rPr>
            </w:pPr>
          </w:p>
          <w:p w14:paraId="228FDF68">
            <w:pPr>
              <w:shd w:val="clear" w:color="auto" w:fill="FFFFFF" w:themeFill="background1"/>
              <w:rPr>
                <w:rFonts w:ascii="宋体" w:hAnsi="宋体" w:cs="宋体"/>
                <w:color w:val="auto"/>
                <w:sz w:val="24"/>
                <w:highlight w:val="none"/>
              </w:rPr>
            </w:pPr>
          </w:p>
          <w:p w14:paraId="2693AA4D">
            <w:pPr>
              <w:shd w:val="clear" w:color="auto" w:fill="FFFFFF" w:themeFill="background1"/>
              <w:rPr>
                <w:rFonts w:ascii="宋体" w:hAnsi="宋体" w:cs="宋体"/>
                <w:color w:val="auto"/>
                <w:sz w:val="24"/>
                <w:highlight w:val="none"/>
              </w:rPr>
            </w:pPr>
          </w:p>
          <w:p w14:paraId="19E2E037">
            <w:pPr>
              <w:shd w:val="clear" w:color="auto" w:fill="FFFFFF" w:themeFill="background1"/>
              <w:rPr>
                <w:rFonts w:ascii="宋体" w:hAnsi="宋体" w:cs="宋体"/>
                <w:color w:val="auto"/>
                <w:sz w:val="24"/>
                <w:highlight w:val="none"/>
              </w:rPr>
            </w:pPr>
          </w:p>
          <w:p w14:paraId="168D2942">
            <w:pPr>
              <w:shd w:val="clear" w:color="auto" w:fill="FFFFFF" w:themeFill="background1"/>
              <w:spacing w:line="520" w:lineRule="exact"/>
              <w:rPr>
                <w:rFonts w:ascii="宋体" w:hAnsi="宋体" w:cs="宋体"/>
                <w:color w:val="auto"/>
                <w:sz w:val="24"/>
                <w:highlight w:val="none"/>
              </w:rPr>
            </w:pPr>
            <w:r>
              <w:rPr>
                <w:rFonts w:hint="eastAsia" w:ascii="宋体" w:hAnsi="宋体" w:cs="宋体"/>
                <w:color w:val="auto"/>
                <w:sz w:val="24"/>
                <w:highlight w:val="none"/>
              </w:rPr>
              <w:t>联系人及电话：                         采购人签章</w:t>
            </w:r>
          </w:p>
          <w:p w14:paraId="3EEB0BD7">
            <w:pPr>
              <w:shd w:val="clear" w:color="auto" w:fill="FFFFFF" w:themeFill="background1"/>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36A1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14:paraId="127C3CDF">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备注</w:t>
            </w:r>
          </w:p>
        </w:tc>
        <w:tc>
          <w:tcPr>
            <w:tcW w:w="8456" w:type="dxa"/>
          </w:tcPr>
          <w:p w14:paraId="2198343E">
            <w:pPr>
              <w:shd w:val="clear" w:color="auto" w:fill="FFFFFF" w:themeFill="background1"/>
              <w:rPr>
                <w:rFonts w:ascii="宋体" w:hAnsi="宋体" w:cs="宋体"/>
                <w:color w:val="auto"/>
                <w:sz w:val="24"/>
                <w:highlight w:val="none"/>
              </w:rPr>
            </w:pPr>
          </w:p>
        </w:tc>
      </w:tr>
    </w:tbl>
    <w:p w14:paraId="627DC63D">
      <w:pPr>
        <w:pStyle w:val="10"/>
        <w:shd w:val="clear" w:color="auto" w:fill="FFFFFF" w:themeFill="background1"/>
        <w:ind w:left="420" w:leftChars="114" w:hanging="181" w:hangingChars="100"/>
        <w:rPr>
          <w:rFonts w:ascii="宋体" w:hAnsi="宋体" w:cs="宋体"/>
          <w:b/>
          <w:bCs/>
          <w:color w:val="auto"/>
          <w:sz w:val="18"/>
          <w:highlight w:val="none"/>
        </w:rPr>
      </w:pPr>
      <w:r>
        <w:rPr>
          <w:rFonts w:hint="eastAsia" w:ascii="宋体" w:hAnsi="宋体" w:cs="宋体"/>
          <w:b/>
          <w:bCs/>
          <w:color w:val="auto"/>
          <w:sz w:val="18"/>
          <w:highlight w:val="none"/>
        </w:rPr>
        <w:t>注：投标人凭经采购人审批的退付意见书到</w:t>
      </w:r>
      <w:r>
        <w:rPr>
          <w:rFonts w:hint="eastAsia" w:ascii="宋体" w:hAnsi="宋体" w:cs="宋体"/>
          <w:b/>
          <w:bCs/>
          <w:color w:val="auto"/>
          <w:sz w:val="18"/>
          <w:szCs w:val="18"/>
          <w:highlight w:val="none"/>
        </w:rPr>
        <w:t>履约</w:t>
      </w:r>
      <w:r>
        <w:rPr>
          <w:rFonts w:hint="eastAsia" w:ascii="宋体" w:hAnsi="宋体" w:cs="宋体"/>
          <w:b/>
          <w:bCs/>
          <w:color w:val="auto"/>
          <w:sz w:val="18"/>
          <w:highlight w:val="none"/>
        </w:rPr>
        <w:t>保证金收取单位办理履约保证金退付事宜。</w:t>
      </w:r>
    </w:p>
    <w:p w14:paraId="2AD4412F">
      <w:pPr>
        <w:pStyle w:val="13"/>
        <w:shd w:val="clear" w:color="auto" w:fill="FFFFFF" w:themeFill="background1"/>
        <w:snapToGrid w:val="0"/>
        <w:spacing w:before="120" w:after="120"/>
        <w:rPr>
          <w:rFonts w:hAnsi="宋体" w:cs="宋体"/>
          <w:color w:val="auto"/>
          <w:highlight w:val="none"/>
        </w:rPr>
      </w:pPr>
    </w:p>
    <w:p w14:paraId="77D5E7FE">
      <w:pPr>
        <w:shd w:val="clear" w:color="auto" w:fill="FFFFFF" w:themeFill="background1"/>
        <w:snapToGrid w:val="0"/>
        <w:spacing w:before="50" w:after="120" w:afterLines="50" w:line="360" w:lineRule="auto"/>
        <w:jc w:val="left"/>
        <w:rPr>
          <w:rFonts w:ascii="宋体" w:hAnsi="宋体" w:cs="宋体"/>
          <w:color w:val="auto"/>
          <w:sz w:val="20"/>
          <w:highlight w:val="none"/>
        </w:rPr>
      </w:pPr>
    </w:p>
    <w:p w14:paraId="182E9E20">
      <w:pPr>
        <w:pStyle w:val="13"/>
        <w:shd w:val="clear" w:color="auto" w:fill="FFFFFF" w:themeFill="background1"/>
        <w:tabs>
          <w:tab w:val="left" w:pos="2472"/>
        </w:tabs>
        <w:spacing w:line="460" w:lineRule="exact"/>
        <w:jc w:val="center"/>
        <w:rPr>
          <w:rFonts w:hAnsi="宋体" w:cs="宋体"/>
          <w:b/>
          <w:color w:val="auto"/>
          <w:sz w:val="36"/>
          <w:highlight w:val="none"/>
        </w:rPr>
      </w:pPr>
    </w:p>
    <w:p w14:paraId="285AF582">
      <w:pPr>
        <w:pStyle w:val="13"/>
        <w:shd w:val="clear" w:color="auto" w:fill="FFFFFF" w:themeFill="background1"/>
        <w:tabs>
          <w:tab w:val="left" w:pos="2472"/>
        </w:tabs>
        <w:spacing w:line="460" w:lineRule="exact"/>
        <w:jc w:val="center"/>
        <w:rPr>
          <w:rFonts w:hAnsi="宋体" w:cs="宋体"/>
          <w:b/>
          <w:color w:val="auto"/>
          <w:sz w:val="36"/>
          <w:highlight w:val="none"/>
        </w:rPr>
      </w:pPr>
    </w:p>
    <w:p w14:paraId="4907FBE8">
      <w:pPr>
        <w:pStyle w:val="13"/>
        <w:shd w:val="clear" w:color="auto" w:fill="FFFFFF" w:themeFill="background1"/>
        <w:tabs>
          <w:tab w:val="left" w:pos="2472"/>
        </w:tabs>
        <w:spacing w:line="460" w:lineRule="exact"/>
        <w:jc w:val="center"/>
        <w:rPr>
          <w:rFonts w:hAnsi="宋体" w:cs="宋体"/>
          <w:b/>
          <w:color w:val="auto"/>
          <w:sz w:val="36"/>
          <w:highlight w:val="none"/>
        </w:rPr>
      </w:pPr>
    </w:p>
    <w:p w14:paraId="555927C1">
      <w:pPr>
        <w:pStyle w:val="13"/>
        <w:shd w:val="clear" w:color="auto" w:fill="FFFFFF" w:themeFill="background1"/>
        <w:tabs>
          <w:tab w:val="left" w:pos="2472"/>
        </w:tabs>
        <w:spacing w:line="460" w:lineRule="exact"/>
        <w:jc w:val="center"/>
        <w:rPr>
          <w:rFonts w:hAnsi="宋体" w:cs="宋体"/>
          <w:b/>
          <w:color w:val="auto"/>
          <w:sz w:val="36"/>
          <w:highlight w:val="none"/>
        </w:rPr>
      </w:pPr>
    </w:p>
    <w:p w14:paraId="68957FFF">
      <w:pPr>
        <w:pStyle w:val="13"/>
        <w:shd w:val="clear" w:color="auto" w:fill="FFFFFF" w:themeFill="background1"/>
        <w:tabs>
          <w:tab w:val="left" w:pos="2472"/>
        </w:tabs>
        <w:spacing w:line="460" w:lineRule="exact"/>
        <w:jc w:val="center"/>
        <w:rPr>
          <w:rFonts w:hAnsi="宋体" w:cs="宋体"/>
          <w:b/>
          <w:color w:val="auto"/>
          <w:sz w:val="36"/>
          <w:highlight w:val="none"/>
        </w:rPr>
      </w:pPr>
    </w:p>
    <w:p w14:paraId="612EAB56">
      <w:pPr>
        <w:pStyle w:val="13"/>
        <w:shd w:val="clear" w:color="auto" w:fill="FFFFFF" w:themeFill="background1"/>
        <w:tabs>
          <w:tab w:val="left" w:pos="2472"/>
        </w:tabs>
        <w:spacing w:line="460" w:lineRule="exact"/>
        <w:jc w:val="center"/>
        <w:rPr>
          <w:rFonts w:hAnsi="宋体" w:cs="宋体"/>
          <w:b/>
          <w:color w:val="auto"/>
          <w:sz w:val="36"/>
          <w:highlight w:val="none"/>
        </w:rPr>
      </w:pPr>
    </w:p>
    <w:p w14:paraId="1E2D4BB7">
      <w:pPr>
        <w:pStyle w:val="13"/>
        <w:shd w:val="clear" w:color="auto" w:fill="FFFFFF" w:themeFill="background1"/>
        <w:tabs>
          <w:tab w:val="left" w:pos="2472"/>
        </w:tabs>
        <w:spacing w:line="460" w:lineRule="exact"/>
        <w:jc w:val="center"/>
        <w:rPr>
          <w:rFonts w:hAnsi="宋体" w:cs="宋体"/>
          <w:b/>
          <w:color w:val="auto"/>
          <w:sz w:val="36"/>
          <w:highlight w:val="none"/>
        </w:rPr>
      </w:pPr>
    </w:p>
    <w:p w14:paraId="1F10A2C5">
      <w:pPr>
        <w:pStyle w:val="13"/>
        <w:shd w:val="clear" w:color="auto" w:fill="FFFFFF" w:themeFill="background1"/>
        <w:tabs>
          <w:tab w:val="left" w:pos="2472"/>
        </w:tabs>
        <w:spacing w:line="460" w:lineRule="exact"/>
        <w:jc w:val="center"/>
        <w:rPr>
          <w:rFonts w:hAnsi="宋体" w:cs="宋体"/>
          <w:b/>
          <w:color w:val="auto"/>
          <w:sz w:val="36"/>
          <w:highlight w:val="none"/>
        </w:rPr>
      </w:pPr>
    </w:p>
    <w:p w14:paraId="67337DBA">
      <w:pPr>
        <w:pStyle w:val="13"/>
        <w:shd w:val="clear" w:color="auto" w:fill="FFFFFF" w:themeFill="background1"/>
        <w:tabs>
          <w:tab w:val="left" w:pos="2472"/>
        </w:tabs>
        <w:spacing w:line="460" w:lineRule="exact"/>
        <w:jc w:val="center"/>
        <w:rPr>
          <w:rFonts w:hAnsi="宋体" w:cs="宋体"/>
          <w:b/>
          <w:color w:val="auto"/>
          <w:sz w:val="36"/>
          <w:highlight w:val="none"/>
        </w:rPr>
      </w:pPr>
    </w:p>
    <w:p w14:paraId="709FCFC7">
      <w:pPr>
        <w:pStyle w:val="13"/>
        <w:shd w:val="clear" w:color="auto" w:fill="FFFFFF" w:themeFill="background1"/>
        <w:tabs>
          <w:tab w:val="left" w:pos="2472"/>
        </w:tabs>
        <w:spacing w:line="460" w:lineRule="exact"/>
        <w:jc w:val="center"/>
        <w:rPr>
          <w:rFonts w:hAnsi="宋体" w:cs="宋体"/>
          <w:b/>
          <w:color w:val="auto"/>
          <w:sz w:val="36"/>
          <w:highlight w:val="none"/>
        </w:rPr>
      </w:pPr>
    </w:p>
    <w:p w14:paraId="13193133">
      <w:pPr>
        <w:pStyle w:val="13"/>
        <w:shd w:val="clear" w:color="auto" w:fill="FFFFFF" w:themeFill="background1"/>
        <w:tabs>
          <w:tab w:val="left" w:pos="2472"/>
        </w:tabs>
        <w:spacing w:line="460" w:lineRule="exact"/>
        <w:jc w:val="center"/>
        <w:rPr>
          <w:rFonts w:hAnsi="宋体" w:cs="宋体"/>
          <w:b/>
          <w:color w:val="auto"/>
          <w:sz w:val="36"/>
          <w:highlight w:val="none"/>
        </w:rPr>
      </w:pPr>
    </w:p>
    <w:p w14:paraId="7E372F2C">
      <w:pPr>
        <w:pStyle w:val="13"/>
        <w:shd w:val="clear" w:color="auto" w:fill="FFFFFF" w:themeFill="background1"/>
        <w:tabs>
          <w:tab w:val="left" w:pos="2472"/>
        </w:tabs>
        <w:spacing w:line="460" w:lineRule="exact"/>
        <w:jc w:val="center"/>
        <w:outlineLvl w:val="0"/>
        <w:rPr>
          <w:rFonts w:hAnsi="宋体" w:cs="宋体"/>
          <w:b/>
          <w:color w:val="auto"/>
          <w:sz w:val="36"/>
          <w:highlight w:val="none"/>
        </w:rPr>
      </w:pPr>
      <w:bookmarkStart w:id="404" w:name="_Toc7254"/>
      <w:bookmarkStart w:id="405" w:name="_Toc491"/>
      <w:bookmarkStart w:id="406" w:name="_Toc31429"/>
      <w:bookmarkStart w:id="407" w:name="_Toc11260"/>
      <w:bookmarkStart w:id="408" w:name="_Toc31310"/>
      <w:bookmarkStart w:id="409" w:name="_Toc25113"/>
      <w:bookmarkStart w:id="410" w:name="_Toc6635"/>
      <w:bookmarkStart w:id="411" w:name="_Toc7244"/>
      <w:bookmarkStart w:id="412" w:name="_Toc2211"/>
      <w:bookmarkStart w:id="413" w:name="_Toc18173"/>
      <w:bookmarkStart w:id="414" w:name="_Toc21753"/>
      <w:bookmarkStart w:id="415" w:name="_Toc32028"/>
      <w:bookmarkStart w:id="416" w:name="_Toc17736"/>
      <w:r>
        <w:rPr>
          <w:rFonts w:hint="eastAsia" w:hAnsi="宋体" w:cs="宋体"/>
          <w:b/>
          <w:color w:val="auto"/>
          <w:sz w:val="36"/>
          <w:highlight w:val="none"/>
        </w:rPr>
        <w:t>第七章 质疑、投诉材料格式</w:t>
      </w:r>
      <w:bookmarkEnd w:id="404"/>
      <w:bookmarkEnd w:id="405"/>
      <w:bookmarkEnd w:id="406"/>
      <w:bookmarkEnd w:id="407"/>
      <w:bookmarkEnd w:id="408"/>
      <w:bookmarkEnd w:id="409"/>
      <w:bookmarkEnd w:id="410"/>
      <w:bookmarkEnd w:id="411"/>
      <w:bookmarkEnd w:id="412"/>
      <w:bookmarkEnd w:id="413"/>
      <w:bookmarkEnd w:id="414"/>
      <w:bookmarkEnd w:id="415"/>
      <w:bookmarkEnd w:id="416"/>
    </w:p>
    <w:p w14:paraId="740FAF2E">
      <w:pPr>
        <w:widowControl/>
        <w:shd w:val="clear" w:color="auto" w:fill="FFFFFF" w:themeFill="background1"/>
        <w:spacing w:line="360" w:lineRule="auto"/>
        <w:jc w:val="left"/>
        <w:rPr>
          <w:rFonts w:ascii="宋体" w:hAnsi="宋体" w:cs="宋体"/>
          <w:color w:val="auto"/>
          <w:sz w:val="20"/>
          <w:highlight w:val="none"/>
        </w:rPr>
        <w:sectPr>
          <w:pgSz w:w="11905" w:h="16838"/>
          <w:pgMar w:top="1134" w:right="1134" w:bottom="1134" w:left="1134" w:header="850" w:footer="850" w:gutter="0"/>
          <w:cols w:space="0" w:num="1"/>
          <w:titlePg/>
          <w:docGrid w:linePitch="331" w:charSpace="0"/>
        </w:sectPr>
      </w:pPr>
    </w:p>
    <w:p w14:paraId="2566F560">
      <w:pPr>
        <w:pStyle w:val="3"/>
        <w:shd w:val="clear" w:color="auto" w:fill="FFFFFF" w:themeFill="background1"/>
        <w:jc w:val="center"/>
        <w:rPr>
          <w:rFonts w:ascii="宋体" w:hAnsi="宋体" w:eastAsia="宋体" w:cs="宋体"/>
          <w:b w:val="0"/>
          <w:bCs w:val="0"/>
          <w:color w:val="auto"/>
          <w:highlight w:val="none"/>
        </w:rPr>
      </w:pPr>
      <w:bookmarkStart w:id="417" w:name="_Toc31800"/>
      <w:bookmarkStart w:id="418" w:name="_Toc10944"/>
      <w:bookmarkStart w:id="419" w:name="_Toc12016"/>
      <w:bookmarkStart w:id="420" w:name="_Toc17610"/>
      <w:bookmarkStart w:id="421" w:name="_Toc22540"/>
      <w:bookmarkStart w:id="422" w:name="_Toc25538"/>
      <w:bookmarkStart w:id="423" w:name="_Toc3458"/>
      <w:bookmarkStart w:id="424" w:name="_Toc15096"/>
      <w:bookmarkStart w:id="425" w:name="_Toc22595"/>
      <w:bookmarkStart w:id="426" w:name="_Toc990"/>
      <w:r>
        <w:rPr>
          <w:rFonts w:hint="eastAsia" w:ascii="宋体" w:hAnsi="宋体" w:eastAsia="宋体" w:cs="宋体"/>
          <w:b w:val="0"/>
          <w:bCs w:val="0"/>
          <w:color w:val="auto"/>
          <w:highlight w:val="none"/>
        </w:rPr>
        <w:t>第一节 质疑函（格式）</w:t>
      </w:r>
      <w:bookmarkEnd w:id="417"/>
      <w:bookmarkEnd w:id="418"/>
      <w:bookmarkEnd w:id="419"/>
      <w:bookmarkEnd w:id="420"/>
      <w:bookmarkEnd w:id="421"/>
      <w:bookmarkEnd w:id="422"/>
      <w:bookmarkEnd w:id="423"/>
      <w:bookmarkEnd w:id="424"/>
      <w:bookmarkEnd w:id="425"/>
      <w:bookmarkEnd w:id="426"/>
    </w:p>
    <w:p w14:paraId="3881708A">
      <w:pPr>
        <w:shd w:val="clear" w:color="auto" w:fill="FFFFFF" w:themeFill="background1"/>
        <w:jc w:val="center"/>
        <w:rPr>
          <w:rFonts w:ascii="宋体" w:hAnsi="宋体" w:cs="宋体"/>
          <w:bCs/>
          <w:color w:val="auto"/>
          <w:sz w:val="32"/>
          <w:szCs w:val="32"/>
          <w:highlight w:val="none"/>
        </w:rPr>
      </w:pPr>
      <w:r>
        <w:rPr>
          <w:rFonts w:hint="eastAsia" w:ascii="宋体" w:hAnsi="宋体" w:cs="宋体"/>
          <w:b/>
          <w:bCs/>
          <w:color w:val="auto"/>
          <w:sz w:val="32"/>
          <w:szCs w:val="32"/>
          <w:highlight w:val="none"/>
        </w:rPr>
        <w:t>质疑函</w:t>
      </w:r>
    </w:p>
    <w:p w14:paraId="00885F07">
      <w:pPr>
        <w:shd w:val="clear" w:color="auto" w:fill="FFFFFF" w:themeFill="background1"/>
        <w:adjustRightInd w:val="0"/>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7F5661D">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0AEEE86">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71AC164">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DF11B12">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3A4F81E">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8C0EAD">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4C554B">
      <w:pPr>
        <w:shd w:val="clear" w:color="auto" w:fill="FFFFFF" w:themeFill="background1"/>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7F34827">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227C460">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81931C5">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bookmarkStart w:id="427" w:name="PO_3000001867_PM026_5"/>
      <w:r>
        <w:rPr>
          <w:rFonts w:hint="eastAsia" w:ascii="宋体" w:hAnsi="宋体" w:cs="宋体"/>
          <w:color w:val="auto"/>
          <w:sz w:val="24"/>
          <w:highlight w:val="none"/>
          <w:u w:val="dotted"/>
        </w:rPr>
        <w:t xml:space="preserve">                        </w:t>
      </w:r>
      <w:bookmarkEnd w:id="427"/>
      <w:r>
        <w:rPr>
          <w:rFonts w:hint="eastAsia" w:ascii="宋体" w:hAnsi="宋体" w:cs="宋体"/>
          <w:color w:val="auto"/>
          <w:sz w:val="24"/>
          <w:highlight w:val="none"/>
          <w:u w:val="dotted"/>
        </w:rPr>
        <w:t xml:space="preserve">  </w:t>
      </w:r>
    </w:p>
    <w:p w14:paraId="6E178C52">
      <w:pPr>
        <w:shd w:val="clear" w:color="auto" w:fill="FFFFFF" w:themeFill="background1"/>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质疑事项：</w:t>
      </w:r>
    </w:p>
    <w:p w14:paraId="0E645EFE">
      <w:pPr>
        <w:shd w:val="clear" w:color="auto" w:fill="FFFFFF" w:themeFill="background1"/>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□采购文件   采购文件获取日期：</w:t>
      </w:r>
      <w:r>
        <w:rPr>
          <w:rFonts w:hint="eastAsia" w:ascii="宋体" w:hAnsi="宋体" w:cs="宋体"/>
          <w:color w:val="auto"/>
          <w:sz w:val="24"/>
          <w:highlight w:val="none"/>
          <w:u w:val="dotted"/>
        </w:rPr>
        <w:t xml:space="preserve">                         </w:t>
      </w:r>
      <w:r>
        <w:rPr>
          <w:rFonts w:hint="eastAsia" w:ascii="宋体" w:hAnsi="宋体" w:cs="宋体"/>
          <w:color w:val="auto"/>
          <w:sz w:val="24"/>
          <w:highlight w:val="none"/>
          <w:lang w:val="zh-CN"/>
        </w:rPr>
        <w:t xml:space="preserve">  </w:t>
      </w:r>
    </w:p>
    <w:p w14:paraId="59652959">
      <w:pPr>
        <w:shd w:val="clear" w:color="auto" w:fill="FFFFFF" w:themeFill="background1"/>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□采购过程   </w:t>
      </w:r>
    </w:p>
    <w:p w14:paraId="5E9AC868">
      <w:pPr>
        <w:shd w:val="clear" w:color="auto" w:fill="FFFFFF" w:themeFill="background1"/>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□中标结果   </w:t>
      </w:r>
    </w:p>
    <w:p w14:paraId="629E3AB1">
      <w:pPr>
        <w:shd w:val="clear" w:color="auto" w:fill="FFFFFF" w:themeFill="background1"/>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CA7F771">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3D78E9C">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62F14CB">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59668BD">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8C25B59">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F7D27D1">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1E8FCDA">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D3728E">
      <w:pPr>
        <w:shd w:val="clear" w:color="auto" w:fill="FFFFFF" w:themeFill="background1"/>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D211C27">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120C212">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F1D614E">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E65B5C7">
      <w:pPr>
        <w:shd w:val="clear" w:color="auto" w:fill="FFFFFF" w:themeFill="background1"/>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质疑函制作说明：</w:t>
      </w:r>
    </w:p>
    <w:p w14:paraId="7BB22CB9">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ECBC98C">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48D3ACC">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D5E227A">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C7934F3">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92A0710">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940B066">
      <w:pPr>
        <w:widowControl/>
        <w:shd w:val="clear" w:color="auto" w:fill="FFFFFF" w:themeFill="background1"/>
        <w:spacing w:line="360" w:lineRule="auto"/>
        <w:ind w:firstLine="480" w:firstLineChars="200"/>
        <w:jc w:val="left"/>
        <w:rPr>
          <w:rFonts w:ascii="宋体" w:hAnsi="宋体" w:cs="宋体"/>
          <w:color w:val="auto"/>
          <w:sz w:val="24"/>
          <w:highlight w:val="none"/>
        </w:rPr>
      </w:pPr>
    </w:p>
    <w:p w14:paraId="79E261ED">
      <w:pPr>
        <w:widowControl/>
        <w:shd w:val="clear" w:color="auto" w:fill="FFFFFF" w:themeFill="background1"/>
        <w:spacing w:line="360" w:lineRule="auto"/>
        <w:jc w:val="left"/>
        <w:rPr>
          <w:rFonts w:ascii="宋体" w:hAnsi="宋体" w:cs="宋体"/>
          <w:color w:val="auto"/>
          <w:kern w:val="0"/>
          <w:sz w:val="24"/>
          <w:highlight w:val="none"/>
        </w:rPr>
        <w:sectPr>
          <w:pgSz w:w="11905" w:h="16838"/>
          <w:pgMar w:top="1134" w:right="1134" w:bottom="1134" w:left="1134" w:header="850" w:footer="850" w:gutter="0"/>
          <w:cols w:space="0" w:num="1"/>
          <w:titlePg/>
          <w:docGrid w:linePitch="331" w:charSpace="0"/>
        </w:sectPr>
      </w:pPr>
    </w:p>
    <w:p w14:paraId="3B220F37">
      <w:pPr>
        <w:pStyle w:val="3"/>
        <w:shd w:val="clear" w:color="auto" w:fill="FFFFFF" w:themeFill="background1"/>
        <w:jc w:val="center"/>
        <w:rPr>
          <w:rFonts w:ascii="宋体" w:hAnsi="宋体" w:eastAsia="宋体" w:cs="宋体"/>
          <w:b w:val="0"/>
          <w:bCs w:val="0"/>
          <w:color w:val="auto"/>
          <w:highlight w:val="none"/>
        </w:rPr>
      </w:pPr>
      <w:bookmarkStart w:id="428" w:name="_Toc1896"/>
      <w:bookmarkStart w:id="429" w:name="_Toc7549"/>
      <w:bookmarkStart w:id="430" w:name="_Toc11984"/>
      <w:bookmarkStart w:id="431" w:name="_Toc11428"/>
      <w:bookmarkStart w:id="432" w:name="_Toc6551"/>
      <w:bookmarkStart w:id="433" w:name="_Toc31203"/>
      <w:bookmarkStart w:id="434" w:name="_Toc24568"/>
      <w:bookmarkStart w:id="435" w:name="_Toc24894"/>
      <w:bookmarkStart w:id="436" w:name="_Toc32540"/>
      <w:bookmarkStart w:id="437" w:name="_Toc8862"/>
      <w:r>
        <w:rPr>
          <w:rFonts w:hint="eastAsia" w:ascii="宋体" w:hAnsi="宋体" w:eastAsia="宋体" w:cs="宋体"/>
          <w:b w:val="0"/>
          <w:bCs w:val="0"/>
          <w:color w:val="auto"/>
          <w:highlight w:val="none"/>
        </w:rPr>
        <w:t>第二节 投诉书（格式）</w:t>
      </w:r>
      <w:bookmarkEnd w:id="428"/>
      <w:bookmarkEnd w:id="429"/>
      <w:bookmarkEnd w:id="430"/>
      <w:bookmarkEnd w:id="431"/>
      <w:bookmarkEnd w:id="432"/>
      <w:bookmarkEnd w:id="433"/>
      <w:bookmarkEnd w:id="434"/>
      <w:bookmarkEnd w:id="435"/>
      <w:bookmarkEnd w:id="436"/>
      <w:bookmarkEnd w:id="437"/>
    </w:p>
    <w:p w14:paraId="256AED3A">
      <w:pPr>
        <w:shd w:val="clear" w:color="auto" w:fill="FFFFFF" w:themeFill="background1"/>
        <w:jc w:val="center"/>
        <w:rPr>
          <w:rFonts w:ascii="宋体" w:hAnsi="宋体" w:cs="宋体"/>
          <w:b/>
          <w:color w:val="auto"/>
          <w:sz w:val="44"/>
          <w:szCs w:val="44"/>
          <w:highlight w:val="none"/>
        </w:rPr>
      </w:pPr>
      <w:r>
        <w:rPr>
          <w:rFonts w:hint="eastAsia" w:ascii="宋体" w:hAnsi="宋体" w:cs="宋体"/>
          <w:b/>
          <w:color w:val="auto"/>
          <w:sz w:val="32"/>
          <w:szCs w:val="32"/>
          <w:highlight w:val="none"/>
        </w:rPr>
        <w:t>投诉书</w:t>
      </w:r>
    </w:p>
    <w:p w14:paraId="06937DA3">
      <w:pPr>
        <w:shd w:val="clear" w:color="auto" w:fill="FFFFFF" w:themeFill="background1"/>
        <w:rPr>
          <w:rFonts w:ascii="宋体" w:hAnsi="宋体" w:cs="宋体"/>
          <w:color w:val="auto"/>
          <w:sz w:val="32"/>
          <w:szCs w:val="32"/>
          <w:highlight w:val="none"/>
        </w:rPr>
      </w:pPr>
    </w:p>
    <w:p w14:paraId="79696943">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FD07887">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247A50F">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DABB13D">
      <w:pPr>
        <w:shd w:val="clear" w:color="auto" w:fill="FFFFFF" w:themeFill="background1"/>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p>
    <w:p w14:paraId="326E3AB9">
      <w:pPr>
        <w:shd w:val="clear" w:color="auto" w:fill="FFFFFF" w:themeFill="background1"/>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585C159">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4CD20CD">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C2297E4">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38E2251A">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DB24D18">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8CFFBD3">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9DF109">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A2BA898">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62CD7567">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65D7A83">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420EE91">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F6B213D">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bookmarkStart w:id="438" w:name="PO_3000001867_PM002_12"/>
      <w:r>
        <w:rPr>
          <w:rFonts w:hint="eastAsia" w:ascii="宋体" w:hAnsi="宋体" w:cs="宋体"/>
          <w:color w:val="auto"/>
          <w:sz w:val="24"/>
          <w:highlight w:val="none"/>
          <w:u w:val="dotted"/>
        </w:rPr>
        <w:t xml:space="preserve">                    </w:t>
      </w:r>
      <w:bookmarkEnd w:id="438"/>
      <w:r>
        <w:rPr>
          <w:rFonts w:hint="eastAsia" w:ascii="宋体" w:hAnsi="宋体" w:cs="宋体"/>
          <w:color w:val="auto"/>
          <w:sz w:val="24"/>
          <w:highlight w:val="none"/>
          <w:u w:val="dotted"/>
        </w:rPr>
        <w:t xml:space="preserve">  </w:t>
      </w:r>
    </w:p>
    <w:p w14:paraId="4507C723">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bookmarkStart w:id="439" w:name="PO_3000001867_PM001_9"/>
      <w:r>
        <w:rPr>
          <w:rFonts w:hint="eastAsia" w:ascii="宋体" w:hAnsi="宋体" w:cs="宋体"/>
          <w:color w:val="auto"/>
          <w:sz w:val="24"/>
          <w:highlight w:val="none"/>
          <w:u w:val="dotted"/>
        </w:rPr>
        <w:t xml:space="preserve">                    </w:t>
      </w:r>
      <w:bookmarkEnd w:id="439"/>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766A6B3">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bookmarkStart w:id="440" w:name="PO_3000001867_PM026_6"/>
      <w:r>
        <w:rPr>
          <w:rFonts w:hint="eastAsia" w:ascii="宋体" w:hAnsi="宋体" w:cs="宋体"/>
          <w:color w:val="auto"/>
          <w:sz w:val="24"/>
          <w:highlight w:val="none"/>
          <w:u w:val="dotted"/>
        </w:rPr>
        <w:t xml:space="preserve">                    </w:t>
      </w:r>
      <w:bookmarkEnd w:id="440"/>
      <w:r>
        <w:rPr>
          <w:rFonts w:hint="eastAsia" w:ascii="宋体" w:hAnsi="宋体" w:cs="宋体"/>
          <w:color w:val="auto"/>
          <w:sz w:val="24"/>
          <w:highlight w:val="none"/>
          <w:u w:val="dotted"/>
        </w:rPr>
        <w:t xml:space="preserve">  </w:t>
      </w:r>
    </w:p>
    <w:p w14:paraId="1E0A2156">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AB0F366">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A0D4481">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246EF76">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F973578">
      <w:pPr>
        <w:shd w:val="clear" w:color="auto" w:fill="FFFFFF" w:themeFill="background1"/>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494E631">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AA0840A">
      <w:pPr>
        <w:shd w:val="clear" w:color="auto" w:fill="FFFFFF" w:themeFill="background1"/>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采购人/采购代理机构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18D1472">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00EBCE2">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56BAA9E">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D0BB0E8">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018AB4A">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AEACDEA">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B0BCD77">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745634E">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2F7CCE7">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6DA65E0">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65D67D8">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267D6E7">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B7EF89A">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0D027CC">
      <w:pPr>
        <w:shd w:val="clear" w:color="auto" w:fill="FFFFFF" w:themeFill="background1"/>
        <w:spacing w:line="360" w:lineRule="auto"/>
        <w:rPr>
          <w:rFonts w:ascii="宋体" w:hAnsi="宋体" w:cs="宋体"/>
          <w:b/>
          <w:color w:val="auto"/>
          <w:sz w:val="24"/>
          <w:highlight w:val="none"/>
        </w:rPr>
      </w:pPr>
    </w:p>
    <w:p w14:paraId="5A39F5BD">
      <w:pPr>
        <w:shd w:val="clear" w:color="auto" w:fill="FFFFFF" w:themeFill="background1"/>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BEFB6D8">
      <w:pPr>
        <w:widowControl/>
        <w:shd w:val="clear" w:color="auto" w:fill="FFFFFF" w:themeFill="background1"/>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BA5B26A">
      <w:pPr>
        <w:widowControl/>
        <w:shd w:val="clear" w:color="auto" w:fill="FFFFFF" w:themeFill="background1"/>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D688B73">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AE7BBE8">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6AA4CDB">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D4C3829">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1F0AEF7">
      <w:pPr>
        <w:widowControl/>
        <w:shd w:val="clear" w:color="auto" w:fill="FFFFFF" w:themeFill="background1"/>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A49F11D">
      <w:pPr>
        <w:shd w:val="clear" w:color="auto" w:fill="FFFFFF" w:themeFill="background1"/>
        <w:rPr>
          <w:rFonts w:ascii="宋体" w:hAnsi="宋体" w:cs="宋体"/>
          <w:color w:val="auto"/>
          <w:highlight w:val="none"/>
        </w:rPr>
      </w:pPr>
    </w:p>
    <w:sectPr>
      <w:footerReference r:id="rId8" w:type="first"/>
      <w:headerReference r:id="rId5" w:type="default"/>
      <w:footerReference r:id="rId6" w:type="default"/>
      <w:footerReference r:id="rId7" w:type="even"/>
      <w:pgSz w:w="11905" w:h="16838"/>
      <w:pgMar w:top="1134" w:right="1134" w:bottom="1134" w:left="1134" w:header="850" w:footer="850" w:gutter="0"/>
      <w:cols w:space="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00000000000000000"/>
    <w:charset w:val="86"/>
    <w:family w:val="auto"/>
    <w:pitch w:val="default"/>
    <w:sig w:usb0="00000000" w:usb1="00000000" w:usb2="00000012"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E014E">
    <w:pPr>
      <w:snapToGrid w:val="0"/>
      <w:jc w:val="center"/>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7881917">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9</w:t>
                          </w:r>
                          <w:r>
                            <w:rPr>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pB/xvHAQAAi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m3oFSWOWxz48dfP4++/xz8/&#10;yFWWpw9QY9ZtwLw0vPcDLs3JD+jMrAcVbf4iH4JxFPdwFlcOiYj8qFq8vcQiAkPVZbVYFHR2/zhE&#10;SB+ktyQbDY04uyIp33+ChI1g6ikl13L+RhtT5mfcAwcmZg/LnY8dZisNm2Gis/HtAdn0OPaGOtxy&#10;SsxHh6rmDTkZ8WRsJiPXgPBul7Bw6SejjlBTMZxRaXPap7wE/95L1v0/tL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GpB/xvHAQAAiwMAAA4AAAAAAAAAAQAgAAAAHwEAAGRycy9lMm9Eb2Mu&#10;eG1sUEsFBgAAAAAGAAYAWQEAAFgFAAAAAA==&#10;">
              <v:fill on="f" focussize="0,0"/>
              <v:stroke on="f"/>
              <v:imagedata o:title=""/>
              <o:lock v:ext="edit" aspectratio="f"/>
              <v:textbox inset="0mm,0mm,0mm,0mm" style="mso-fit-shape-to-text:t;">
                <w:txbxContent>
                  <w:p w14:paraId="07881917">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9</w:t>
                    </w:r>
                    <w:r>
                      <w:rPr>
                        <w:sz w:val="18"/>
                        <w:szCs w:val="18"/>
                      </w:rPr>
                      <w:fldChar w:fldCharType="end"/>
                    </w:r>
                  </w:p>
                </w:txbxContent>
              </v:textbox>
            </v:shape>
          </w:pict>
        </mc:Fallback>
      </mc:AlternateContent>
    </w:r>
  </w:p>
  <w:p w14:paraId="0D873CB4">
    <w:pPr>
      <w:snapToGrid w:val="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8F61A">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9993F">
                          <w:pPr>
                            <w:pStyle w:val="15"/>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9D9993F">
                    <w:pPr>
                      <w:pStyle w:val="15"/>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0DAC8">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CD934">
                          <w:pPr>
                            <w:pStyle w:val="15"/>
                            <w:jc w:val="center"/>
                          </w:pPr>
                          <w:r>
                            <w:fldChar w:fldCharType="begin"/>
                          </w:r>
                          <w:r>
                            <w:instrText xml:space="preserve"> PAGE   \* MERGEFORMAT </w:instrText>
                          </w:r>
                          <w:r>
                            <w:fldChar w:fldCharType="separate"/>
                          </w:r>
                          <w:r>
                            <w:rPr>
                              <w:lang w:val="zh-CN"/>
                            </w:rP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FCCD934">
                    <w:pPr>
                      <w:pStyle w:val="15"/>
                      <w:jc w:val="center"/>
                    </w:pPr>
                    <w:r>
                      <w:fldChar w:fldCharType="begin"/>
                    </w:r>
                    <w:r>
                      <w:instrText xml:space="preserve"> PAGE   \* MERGEFORMAT </w:instrText>
                    </w:r>
                    <w:r>
                      <w:fldChar w:fldCharType="separate"/>
                    </w:r>
                    <w:r>
                      <w:rPr>
                        <w:lang w:val="zh-CN"/>
                      </w:rPr>
                      <w:t>82</w:t>
                    </w:r>
                    <w:r>
                      <w:fldChar w:fldCharType="end"/>
                    </w:r>
                  </w:p>
                </w:txbxContent>
              </v:textbox>
            </v:shape>
          </w:pict>
        </mc:Fallback>
      </mc:AlternateContent>
    </w:r>
  </w:p>
  <w:p w14:paraId="5701D1A6">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50CBB">
    <w:pPr>
      <w:pStyle w:val="15"/>
      <w:framePr w:wrap="around" w:vAnchor="text" w:hAnchor="margin" w:xAlign="center" w:y="1"/>
      <w:rPr>
        <w:rStyle w:val="27"/>
      </w:rPr>
    </w:pPr>
    <w:r>
      <w:fldChar w:fldCharType="begin"/>
    </w:r>
    <w:r>
      <w:rPr>
        <w:rStyle w:val="27"/>
      </w:rPr>
      <w:instrText xml:space="preserve">PAGE  </w:instrText>
    </w:r>
    <w:r>
      <w:fldChar w:fldCharType="end"/>
    </w:r>
  </w:p>
  <w:p w14:paraId="4D53441F">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486CC">
    <w:pPr>
      <w:pStyle w:val="15"/>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ACCA4">
                          <w:pPr>
                            <w:pStyle w:val="15"/>
                            <w:rPr>
                              <w:rStyle w:val="27"/>
                            </w:rPr>
                          </w:pPr>
                          <w:r>
                            <w:fldChar w:fldCharType="begin"/>
                          </w:r>
                          <w:r>
                            <w:rPr>
                              <w:rStyle w:val="27"/>
                            </w:rPr>
                            <w:instrText xml:space="preserve">PAGE  </w:instrText>
                          </w:r>
                          <w:r>
                            <w:fldChar w:fldCharType="separate"/>
                          </w:r>
                          <w:r>
                            <w:rPr>
                              <w:rStyle w:val="27"/>
                            </w:rPr>
                            <w:t>81</w:t>
                          </w:r>
                          <w:r>
                            <w:fldChar w:fldCharType="end"/>
                          </w:r>
                        </w:p>
                        <w:p w14:paraId="605B513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A1ACCA4">
                    <w:pPr>
                      <w:pStyle w:val="15"/>
                      <w:rPr>
                        <w:rStyle w:val="27"/>
                      </w:rPr>
                    </w:pPr>
                    <w:r>
                      <w:fldChar w:fldCharType="begin"/>
                    </w:r>
                    <w:r>
                      <w:rPr>
                        <w:rStyle w:val="27"/>
                      </w:rPr>
                      <w:instrText xml:space="preserve">PAGE  </w:instrText>
                    </w:r>
                    <w:r>
                      <w:fldChar w:fldCharType="separate"/>
                    </w:r>
                    <w:r>
                      <w:rPr>
                        <w:rStyle w:val="27"/>
                      </w:rPr>
                      <w:t>81</w:t>
                    </w:r>
                    <w:r>
                      <w:fldChar w:fldCharType="end"/>
                    </w:r>
                  </w:p>
                  <w:p w14:paraId="605B5132"/>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01FC8">
    <w:pPr>
      <w:pStyle w:val="16"/>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262C2"/>
    <w:multiLevelType w:val="singleLevel"/>
    <w:tmpl w:val="A83262C2"/>
    <w:lvl w:ilvl="0" w:tentative="0">
      <w:start w:val="2"/>
      <w:numFmt w:val="chineseCounting"/>
      <w:suff w:val="nothing"/>
      <w:lvlText w:val="（%1）"/>
      <w:lvlJc w:val="left"/>
      <w:rPr>
        <w:rFonts w:hint="eastAsia"/>
      </w:rPr>
    </w:lvl>
  </w:abstractNum>
  <w:abstractNum w:abstractNumId="1">
    <w:nsid w:val="B486180C"/>
    <w:multiLevelType w:val="singleLevel"/>
    <w:tmpl w:val="B486180C"/>
    <w:lvl w:ilvl="0" w:tentative="0">
      <w:start w:val="1"/>
      <w:numFmt w:val="decimal"/>
      <w:suff w:val="nothing"/>
      <w:lvlText w:val="（%1）"/>
      <w:lvlJc w:val="left"/>
    </w:lvl>
  </w:abstractNum>
  <w:abstractNum w:abstractNumId="2">
    <w:nsid w:val="DC3C4FD3"/>
    <w:multiLevelType w:val="singleLevel"/>
    <w:tmpl w:val="DC3C4FD3"/>
    <w:lvl w:ilvl="0" w:tentative="0">
      <w:start w:val="1"/>
      <w:numFmt w:val="decimal"/>
      <w:suff w:val="nothing"/>
      <w:lvlText w:val="（%1）"/>
      <w:lvlJc w:val="left"/>
    </w:lvl>
  </w:abstractNum>
  <w:abstractNum w:abstractNumId="3">
    <w:nsid w:val="F606FFBA"/>
    <w:multiLevelType w:val="singleLevel"/>
    <w:tmpl w:val="F606FFBA"/>
    <w:lvl w:ilvl="0" w:tentative="0">
      <w:start w:val="1"/>
      <w:numFmt w:val="decimal"/>
      <w:lvlText w:val="%1."/>
      <w:lvlJc w:val="left"/>
      <w:pPr>
        <w:tabs>
          <w:tab w:val="left" w:pos="312"/>
        </w:tabs>
      </w:pPr>
    </w:lvl>
  </w:abstractNum>
  <w:abstractNum w:abstractNumId="4">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6">
    <w:nsid w:val="348E8DD0"/>
    <w:multiLevelType w:val="singleLevel"/>
    <w:tmpl w:val="348E8DD0"/>
    <w:lvl w:ilvl="0" w:tentative="0">
      <w:start w:val="2"/>
      <w:numFmt w:val="decimal"/>
      <w:suff w:val="space"/>
      <w:lvlText w:val="%1."/>
      <w:lvlJc w:val="left"/>
    </w:lvl>
  </w:abstractNum>
  <w:abstractNum w:abstractNumId="7">
    <w:nsid w:val="5DFEF7AA"/>
    <w:multiLevelType w:val="singleLevel"/>
    <w:tmpl w:val="5DFEF7AA"/>
    <w:lvl w:ilvl="0" w:tentative="0">
      <w:start w:val="1"/>
      <w:numFmt w:val="decimal"/>
      <w:suff w:val="nothing"/>
      <w:lvlText w:val="（%1）"/>
      <w:lvlJc w:val="left"/>
    </w:lvl>
  </w:abstractNum>
  <w:num w:numId="1">
    <w:abstractNumId w:val="3"/>
  </w:num>
  <w:num w:numId="2">
    <w:abstractNumId w:val="7"/>
  </w:num>
  <w:num w:numId="3">
    <w:abstractNumId w:val="2"/>
  </w:num>
  <w:num w:numId="4">
    <w:abstractNumId w:val="1"/>
  </w:num>
  <w:num w:numId="5">
    <w:abstractNumId w:val="0"/>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zZDhkNGQwMDIyOGY1MmJiZDg0YWUyMWRkNmEyMjEifQ=="/>
  </w:docVars>
  <w:rsids>
    <w:rsidRoot w:val="00FF549E"/>
    <w:rsid w:val="00046269"/>
    <w:rsid w:val="0006029B"/>
    <w:rsid w:val="0006069B"/>
    <w:rsid w:val="00061472"/>
    <w:rsid w:val="00086327"/>
    <w:rsid w:val="00095B24"/>
    <w:rsid w:val="000E423E"/>
    <w:rsid w:val="00116873"/>
    <w:rsid w:val="0013394C"/>
    <w:rsid w:val="0013626B"/>
    <w:rsid w:val="00184147"/>
    <w:rsid w:val="001C69D7"/>
    <w:rsid w:val="00211393"/>
    <w:rsid w:val="002276FE"/>
    <w:rsid w:val="00233F41"/>
    <w:rsid w:val="002D2306"/>
    <w:rsid w:val="002E2817"/>
    <w:rsid w:val="002F07D7"/>
    <w:rsid w:val="002F7A93"/>
    <w:rsid w:val="00365C16"/>
    <w:rsid w:val="003835F4"/>
    <w:rsid w:val="003D54F6"/>
    <w:rsid w:val="003E0388"/>
    <w:rsid w:val="004067E4"/>
    <w:rsid w:val="00423689"/>
    <w:rsid w:val="004464AC"/>
    <w:rsid w:val="0046068D"/>
    <w:rsid w:val="004B7803"/>
    <w:rsid w:val="004D132D"/>
    <w:rsid w:val="0053044F"/>
    <w:rsid w:val="005A6852"/>
    <w:rsid w:val="005C23DB"/>
    <w:rsid w:val="005D0D7B"/>
    <w:rsid w:val="005D1A07"/>
    <w:rsid w:val="005E5B8A"/>
    <w:rsid w:val="00633853"/>
    <w:rsid w:val="006623AD"/>
    <w:rsid w:val="006B2092"/>
    <w:rsid w:val="0070034E"/>
    <w:rsid w:val="007123F3"/>
    <w:rsid w:val="007125AA"/>
    <w:rsid w:val="00747E77"/>
    <w:rsid w:val="007F7EB3"/>
    <w:rsid w:val="00810E61"/>
    <w:rsid w:val="00870586"/>
    <w:rsid w:val="00871ED9"/>
    <w:rsid w:val="00877165"/>
    <w:rsid w:val="008869FC"/>
    <w:rsid w:val="008F0FE6"/>
    <w:rsid w:val="00986EA5"/>
    <w:rsid w:val="009B07F1"/>
    <w:rsid w:val="009D1B6B"/>
    <w:rsid w:val="00A37E83"/>
    <w:rsid w:val="00A41981"/>
    <w:rsid w:val="00A5489A"/>
    <w:rsid w:val="00A702F7"/>
    <w:rsid w:val="00A86037"/>
    <w:rsid w:val="00AB19F9"/>
    <w:rsid w:val="00AC71A3"/>
    <w:rsid w:val="00AD0747"/>
    <w:rsid w:val="00AE4816"/>
    <w:rsid w:val="00AE4C59"/>
    <w:rsid w:val="00B14EB0"/>
    <w:rsid w:val="00B3243C"/>
    <w:rsid w:val="00B451A9"/>
    <w:rsid w:val="00B8478C"/>
    <w:rsid w:val="00B95B9F"/>
    <w:rsid w:val="00BA5729"/>
    <w:rsid w:val="00BE308C"/>
    <w:rsid w:val="00C0295F"/>
    <w:rsid w:val="00C10D41"/>
    <w:rsid w:val="00C22C65"/>
    <w:rsid w:val="00C301F8"/>
    <w:rsid w:val="00C42561"/>
    <w:rsid w:val="00C621D0"/>
    <w:rsid w:val="00C62E08"/>
    <w:rsid w:val="00CA08F5"/>
    <w:rsid w:val="00CB4F2F"/>
    <w:rsid w:val="00CC5062"/>
    <w:rsid w:val="00CE1D89"/>
    <w:rsid w:val="00CF48E1"/>
    <w:rsid w:val="00CF6A1A"/>
    <w:rsid w:val="00D07D90"/>
    <w:rsid w:val="00D26508"/>
    <w:rsid w:val="00D47C35"/>
    <w:rsid w:val="00D72B30"/>
    <w:rsid w:val="00D84355"/>
    <w:rsid w:val="00D95B39"/>
    <w:rsid w:val="00D97756"/>
    <w:rsid w:val="00DB46A0"/>
    <w:rsid w:val="00DB6B5A"/>
    <w:rsid w:val="00DC25FE"/>
    <w:rsid w:val="00DC408D"/>
    <w:rsid w:val="00DC7CFD"/>
    <w:rsid w:val="00E11348"/>
    <w:rsid w:val="00E16032"/>
    <w:rsid w:val="00E219D0"/>
    <w:rsid w:val="00E77BF6"/>
    <w:rsid w:val="00E811EF"/>
    <w:rsid w:val="00EF6E5C"/>
    <w:rsid w:val="00F972AD"/>
    <w:rsid w:val="00FE17DF"/>
    <w:rsid w:val="00FF549E"/>
    <w:rsid w:val="01095920"/>
    <w:rsid w:val="011B02F9"/>
    <w:rsid w:val="012A54D2"/>
    <w:rsid w:val="014275A5"/>
    <w:rsid w:val="01A72EEF"/>
    <w:rsid w:val="01BE6222"/>
    <w:rsid w:val="01C92250"/>
    <w:rsid w:val="01CA3A4A"/>
    <w:rsid w:val="01DA0109"/>
    <w:rsid w:val="02055082"/>
    <w:rsid w:val="025A3517"/>
    <w:rsid w:val="02974B2C"/>
    <w:rsid w:val="02CC6E30"/>
    <w:rsid w:val="02D92142"/>
    <w:rsid w:val="03323B4D"/>
    <w:rsid w:val="035C3D6F"/>
    <w:rsid w:val="036A4118"/>
    <w:rsid w:val="037B5A38"/>
    <w:rsid w:val="03C61781"/>
    <w:rsid w:val="03EE0EB3"/>
    <w:rsid w:val="03FC366E"/>
    <w:rsid w:val="04054EA8"/>
    <w:rsid w:val="041C7FB9"/>
    <w:rsid w:val="043A5387"/>
    <w:rsid w:val="047475DC"/>
    <w:rsid w:val="04975296"/>
    <w:rsid w:val="049A7C20"/>
    <w:rsid w:val="04A57753"/>
    <w:rsid w:val="04E34912"/>
    <w:rsid w:val="053C5C89"/>
    <w:rsid w:val="05403D79"/>
    <w:rsid w:val="054579FD"/>
    <w:rsid w:val="054D6CFB"/>
    <w:rsid w:val="054F5D32"/>
    <w:rsid w:val="056D44BF"/>
    <w:rsid w:val="05A71B3F"/>
    <w:rsid w:val="05BD45F7"/>
    <w:rsid w:val="05EC04F9"/>
    <w:rsid w:val="060A5367"/>
    <w:rsid w:val="06113B1B"/>
    <w:rsid w:val="061760BE"/>
    <w:rsid w:val="066F5DC3"/>
    <w:rsid w:val="0676474C"/>
    <w:rsid w:val="068C4871"/>
    <w:rsid w:val="069602FF"/>
    <w:rsid w:val="06F62551"/>
    <w:rsid w:val="07621280"/>
    <w:rsid w:val="07A428E3"/>
    <w:rsid w:val="07CB185D"/>
    <w:rsid w:val="08093A71"/>
    <w:rsid w:val="087C6AAD"/>
    <w:rsid w:val="08D83DEE"/>
    <w:rsid w:val="08F00221"/>
    <w:rsid w:val="090F2176"/>
    <w:rsid w:val="092C3F65"/>
    <w:rsid w:val="09572877"/>
    <w:rsid w:val="097C1490"/>
    <w:rsid w:val="09AB0983"/>
    <w:rsid w:val="09CE1116"/>
    <w:rsid w:val="09E076C7"/>
    <w:rsid w:val="09EE66EC"/>
    <w:rsid w:val="0A0B2317"/>
    <w:rsid w:val="0A1E7575"/>
    <w:rsid w:val="0A2013A9"/>
    <w:rsid w:val="0A435CEB"/>
    <w:rsid w:val="0A543FB8"/>
    <w:rsid w:val="0A5C1B18"/>
    <w:rsid w:val="0A765A8A"/>
    <w:rsid w:val="0A813285"/>
    <w:rsid w:val="0A92134D"/>
    <w:rsid w:val="0A981F33"/>
    <w:rsid w:val="0ACE705D"/>
    <w:rsid w:val="0AD3705F"/>
    <w:rsid w:val="0AF837E4"/>
    <w:rsid w:val="0B2B22F5"/>
    <w:rsid w:val="0B5140BC"/>
    <w:rsid w:val="0B615CFF"/>
    <w:rsid w:val="0B831A63"/>
    <w:rsid w:val="0B8F7AB0"/>
    <w:rsid w:val="0BA95626"/>
    <w:rsid w:val="0BBA416B"/>
    <w:rsid w:val="0BC23C9A"/>
    <w:rsid w:val="0BCC2C62"/>
    <w:rsid w:val="0BD936D7"/>
    <w:rsid w:val="0C463AE2"/>
    <w:rsid w:val="0C735FEE"/>
    <w:rsid w:val="0C9A245E"/>
    <w:rsid w:val="0D076022"/>
    <w:rsid w:val="0D36499E"/>
    <w:rsid w:val="0D3C32FE"/>
    <w:rsid w:val="0D543F47"/>
    <w:rsid w:val="0D992AED"/>
    <w:rsid w:val="0E0B4637"/>
    <w:rsid w:val="0E0F21BC"/>
    <w:rsid w:val="0E1770D6"/>
    <w:rsid w:val="0E2B18D5"/>
    <w:rsid w:val="0E3218E4"/>
    <w:rsid w:val="0E73260E"/>
    <w:rsid w:val="0E9B63EC"/>
    <w:rsid w:val="0EA91BC1"/>
    <w:rsid w:val="0EC85D32"/>
    <w:rsid w:val="0ED253C1"/>
    <w:rsid w:val="0EEF6AAD"/>
    <w:rsid w:val="0EF32EB3"/>
    <w:rsid w:val="0F17197D"/>
    <w:rsid w:val="0F2B484C"/>
    <w:rsid w:val="0F6B1F01"/>
    <w:rsid w:val="0FB74DC9"/>
    <w:rsid w:val="0FE26F47"/>
    <w:rsid w:val="102F0E28"/>
    <w:rsid w:val="103643E8"/>
    <w:rsid w:val="10390118"/>
    <w:rsid w:val="10900CC6"/>
    <w:rsid w:val="10A25EDA"/>
    <w:rsid w:val="10B5609A"/>
    <w:rsid w:val="10E02F65"/>
    <w:rsid w:val="110F769C"/>
    <w:rsid w:val="111E0398"/>
    <w:rsid w:val="11652FD6"/>
    <w:rsid w:val="120D6C92"/>
    <w:rsid w:val="12855353"/>
    <w:rsid w:val="12DE2AB6"/>
    <w:rsid w:val="12E271C4"/>
    <w:rsid w:val="13004370"/>
    <w:rsid w:val="136C180C"/>
    <w:rsid w:val="13D773DA"/>
    <w:rsid w:val="13F909A5"/>
    <w:rsid w:val="14814229"/>
    <w:rsid w:val="1485642A"/>
    <w:rsid w:val="1493579A"/>
    <w:rsid w:val="14A02656"/>
    <w:rsid w:val="14EF2214"/>
    <w:rsid w:val="14EF4C44"/>
    <w:rsid w:val="15112FB3"/>
    <w:rsid w:val="1517629B"/>
    <w:rsid w:val="15A71FCF"/>
    <w:rsid w:val="15CE73E7"/>
    <w:rsid w:val="15DA6861"/>
    <w:rsid w:val="16390DDC"/>
    <w:rsid w:val="16521360"/>
    <w:rsid w:val="16B56CA7"/>
    <w:rsid w:val="16CC463A"/>
    <w:rsid w:val="16D06DB0"/>
    <w:rsid w:val="172A6452"/>
    <w:rsid w:val="17526FA4"/>
    <w:rsid w:val="1795379C"/>
    <w:rsid w:val="18063809"/>
    <w:rsid w:val="18817186"/>
    <w:rsid w:val="18A53C2D"/>
    <w:rsid w:val="18D41C29"/>
    <w:rsid w:val="18E66AB2"/>
    <w:rsid w:val="18EB4D1B"/>
    <w:rsid w:val="19097C61"/>
    <w:rsid w:val="19155678"/>
    <w:rsid w:val="194F7902"/>
    <w:rsid w:val="198355A9"/>
    <w:rsid w:val="19B81747"/>
    <w:rsid w:val="19DC1C4E"/>
    <w:rsid w:val="19FF33EE"/>
    <w:rsid w:val="1A70567B"/>
    <w:rsid w:val="1A717DDC"/>
    <w:rsid w:val="1A774458"/>
    <w:rsid w:val="1A846A93"/>
    <w:rsid w:val="1A9E7F21"/>
    <w:rsid w:val="1AA22304"/>
    <w:rsid w:val="1ABD34B5"/>
    <w:rsid w:val="1B1A3D35"/>
    <w:rsid w:val="1B8B4540"/>
    <w:rsid w:val="1B980981"/>
    <w:rsid w:val="1BC83144"/>
    <w:rsid w:val="1C256201"/>
    <w:rsid w:val="1C3E1F88"/>
    <w:rsid w:val="1C9E7D2D"/>
    <w:rsid w:val="1CA43733"/>
    <w:rsid w:val="1CCA5C25"/>
    <w:rsid w:val="1CFD3156"/>
    <w:rsid w:val="1D0978F1"/>
    <w:rsid w:val="1D9833C3"/>
    <w:rsid w:val="1DDB52EC"/>
    <w:rsid w:val="1DE01B42"/>
    <w:rsid w:val="1DF1639C"/>
    <w:rsid w:val="1E037DAC"/>
    <w:rsid w:val="1E55723C"/>
    <w:rsid w:val="1EA4279A"/>
    <w:rsid w:val="1EA700B7"/>
    <w:rsid w:val="1F152A17"/>
    <w:rsid w:val="1F4E24B8"/>
    <w:rsid w:val="1F4E3E9E"/>
    <w:rsid w:val="1F617814"/>
    <w:rsid w:val="1F6210D9"/>
    <w:rsid w:val="1F640C4B"/>
    <w:rsid w:val="1F7C3BBA"/>
    <w:rsid w:val="1FEC65FD"/>
    <w:rsid w:val="20232EC2"/>
    <w:rsid w:val="202A5D19"/>
    <w:rsid w:val="208D2FA3"/>
    <w:rsid w:val="208D3ED0"/>
    <w:rsid w:val="209640CD"/>
    <w:rsid w:val="20967EE2"/>
    <w:rsid w:val="20C53898"/>
    <w:rsid w:val="20D3473E"/>
    <w:rsid w:val="20DD79A8"/>
    <w:rsid w:val="20E233A0"/>
    <w:rsid w:val="213D7796"/>
    <w:rsid w:val="215E6B36"/>
    <w:rsid w:val="21AB6CB3"/>
    <w:rsid w:val="21BD5983"/>
    <w:rsid w:val="21D150DA"/>
    <w:rsid w:val="21E92535"/>
    <w:rsid w:val="21EA67DF"/>
    <w:rsid w:val="22494C50"/>
    <w:rsid w:val="22497299"/>
    <w:rsid w:val="22551944"/>
    <w:rsid w:val="225718E5"/>
    <w:rsid w:val="227A5108"/>
    <w:rsid w:val="22C87A6E"/>
    <w:rsid w:val="22CE4F93"/>
    <w:rsid w:val="22DA3051"/>
    <w:rsid w:val="22DC4C58"/>
    <w:rsid w:val="22FA626C"/>
    <w:rsid w:val="23236BC0"/>
    <w:rsid w:val="237B199F"/>
    <w:rsid w:val="237F36A3"/>
    <w:rsid w:val="239A2255"/>
    <w:rsid w:val="23AD68F9"/>
    <w:rsid w:val="23BF6AC9"/>
    <w:rsid w:val="23C31EAF"/>
    <w:rsid w:val="23CD5BEA"/>
    <w:rsid w:val="23D46646"/>
    <w:rsid w:val="23DE769F"/>
    <w:rsid w:val="23E16DB3"/>
    <w:rsid w:val="23EE1A8A"/>
    <w:rsid w:val="23EF07BD"/>
    <w:rsid w:val="242D3833"/>
    <w:rsid w:val="24816B05"/>
    <w:rsid w:val="24941690"/>
    <w:rsid w:val="24CF590E"/>
    <w:rsid w:val="24FD473D"/>
    <w:rsid w:val="255536A8"/>
    <w:rsid w:val="25581FF1"/>
    <w:rsid w:val="25665875"/>
    <w:rsid w:val="256C491B"/>
    <w:rsid w:val="258F5A73"/>
    <w:rsid w:val="25D14C6D"/>
    <w:rsid w:val="25E2566C"/>
    <w:rsid w:val="25F173D7"/>
    <w:rsid w:val="26A742E8"/>
    <w:rsid w:val="26CF1553"/>
    <w:rsid w:val="26DA0542"/>
    <w:rsid w:val="26FB09DF"/>
    <w:rsid w:val="273259A9"/>
    <w:rsid w:val="27380A7A"/>
    <w:rsid w:val="27503865"/>
    <w:rsid w:val="275A5F00"/>
    <w:rsid w:val="276258F6"/>
    <w:rsid w:val="279A2560"/>
    <w:rsid w:val="27DA7DAA"/>
    <w:rsid w:val="27F23143"/>
    <w:rsid w:val="28063E8E"/>
    <w:rsid w:val="28790670"/>
    <w:rsid w:val="29095C9F"/>
    <w:rsid w:val="291B1976"/>
    <w:rsid w:val="292145DB"/>
    <w:rsid w:val="2925686B"/>
    <w:rsid w:val="292D12B6"/>
    <w:rsid w:val="29AB0C3B"/>
    <w:rsid w:val="29BB4910"/>
    <w:rsid w:val="29DD3939"/>
    <w:rsid w:val="29F574D6"/>
    <w:rsid w:val="2A636FF6"/>
    <w:rsid w:val="2A88034A"/>
    <w:rsid w:val="2A8B7BA1"/>
    <w:rsid w:val="2A9804EF"/>
    <w:rsid w:val="2B3529C0"/>
    <w:rsid w:val="2B3B1E66"/>
    <w:rsid w:val="2B770163"/>
    <w:rsid w:val="2B9E3F4D"/>
    <w:rsid w:val="2BCB247B"/>
    <w:rsid w:val="2C1B0957"/>
    <w:rsid w:val="2C29340A"/>
    <w:rsid w:val="2C7D12B4"/>
    <w:rsid w:val="2CA06D85"/>
    <w:rsid w:val="2CB512F6"/>
    <w:rsid w:val="2CCA7EB6"/>
    <w:rsid w:val="2CED73A5"/>
    <w:rsid w:val="2CFB34D0"/>
    <w:rsid w:val="2D3347E7"/>
    <w:rsid w:val="2D4F38E3"/>
    <w:rsid w:val="2D6045A9"/>
    <w:rsid w:val="2D8E5CE6"/>
    <w:rsid w:val="2D9617F6"/>
    <w:rsid w:val="2DCB0FE4"/>
    <w:rsid w:val="2DEC5B1F"/>
    <w:rsid w:val="2E4E0E00"/>
    <w:rsid w:val="2E8F5D54"/>
    <w:rsid w:val="2F423753"/>
    <w:rsid w:val="2F4B3B7A"/>
    <w:rsid w:val="2FB274AE"/>
    <w:rsid w:val="2FB87BD1"/>
    <w:rsid w:val="2FE45030"/>
    <w:rsid w:val="302A03F9"/>
    <w:rsid w:val="305807BF"/>
    <w:rsid w:val="306B5FE8"/>
    <w:rsid w:val="30D81EF7"/>
    <w:rsid w:val="30D93356"/>
    <w:rsid w:val="310559AB"/>
    <w:rsid w:val="314741CF"/>
    <w:rsid w:val="318D2CFD"/>
    <w:rsid w:val="31DE235E"/>
    <w:rsid w:val="31EF7B28"/>
    <w:rsid w:val="32015993"/>
    <w:rsid w:val="322118FB"/>
    <w:rsid w:val="322476CF"/>
    <w:rsid w:val="322B55AE"/>
    <w:rsid w:val="32390A38"/>
    <w:rsid w:val="324653DA"/>
    <w:rsid w:val="326C65A7"/>
    <w:rsid w:val="326D5167"/>
    <w:rsid w:val="326E6C1E"/>
    <w:rsid w:val="32AD00E0"/>
    <w:rsid w:val="32BB403E"/>
    <w:rsid w:val="32E3590E"/>
    <w:rsid w:val="32FC3D25"/>
    <w:rsid w:val="33136037"/>
    <w:rsid w:val="334919B3"/>
    <w:rsid w:val="33800A0F"/>
    <w:rsid w:val="338E424C"/>
    <w:rsid w:val="339B377C"/>
    <w:rsid w:val="33AC33A9"/>
    <w:rsid w:val="345631E3"/>
    <w:rsid w:val="34572A71"/>
    <w:rsid w:val="349D7A9E"/>
    <w:rsid w:val="34BB41E0"/>
    <w:rsid w:val="34BC4B4B"/>
    <w:rsid w:val="3507717E"/>
    <w:rsid w:val="350C2D09"/>
    <w:rsid w:val="356335BF"/>
    <w:rsid w:val="3592350F"/>
    <w:rsid w:val="35F0248A"/>
    <w:rsid w:val="3635774B"/>
    <w:rsid w:val="3642105E"/>
    <w:rsid w:val="366E1C81"/>
    <w:rsid w:val="366E4460"/>
    <w:rsid w:val="36773E5D"/>
    <w:rsid w:val="36801F8F"/>
    <w:rsid w:val="36AF573D"/>
    <w:rsid w:val="36BB169B"/>
    <w:rsid w:val="36D2347F"/>
    <w:rsid w:val="36D3565B"/>
    <w:rsid w:val="36E0622F"/>
    <w:rsid w:val="36ED3DEE"/>
    <w:rsid w:val="3720584E"/>
    <w:rsid w:val="372F7AD8"/>
    <w:rsid w:val="37580EC1"/>
    <w:rsid w:val="375D21A8"/>
    <w:rsid w:val="375D3D27"/>
    <w:rsid w:val="3779039B"/>
    <w:rsid w:val="37FB3273"/>
    <w:rsid w:val="383967AA"/>
    <w:rsid w:val="387F5AF8"/>
    <w:rsid w:val="38E50D89"/>
    <w:rsid w:val="38EB1B0B"/>
    <w:rsid w:val="39726B7C"/>
    <w:rsid w:val="399B6E57"/>
    <w:rsid w:val="39EA3076"/>
    <w:rsid w:val="3A5E70A9"/>
    <w:rsid w:val="3A6C06EC"/>
    <w:rsid w:val="3A917142"/>
    <w:rsid w:val="3A9E2988"/>
    <w:rsid w:val="3ADE1AAE"/>
    <w:rsid w:val="3B376D07"/>
    <w:rsid w:val="3B6C49BC"/>
    <w:rsid w:val="3B946C12"/>
    <w:rsid w:val="3BA30382"/>
    <w:rsid w:val="3BAA39EE"/>
    <w:rsid w:val="3BBA2434"/>
    <w:rsid w:val="3C457F4A"/>
    <w:rsid w:val="3CA11B80"/>
    <w:rsid w:val="3CA319DB"/>
    <w:rsid w:val="3CC646C5"/>
    <w:rsid w:val="3DB349B5"/>
    <w:rsid w:val="3DBD339D"/>
    <w:rsid w:val="3E413FE8"/>
    <w:rsid w:val="3E465404"/>
    <w:rsid w:val="3E4F3CEB"/>
    <w:rsid w:val="3E8B7A4C"/>
    <w:rsid w:val="3E8E196D"/>
    <w:rsid w:val="3E9D2BB0"/>
    <w:rsid w:val="3EC8141A"/>
    <w:rsid w:val="3F03284C"/>
    <w:rsid w:val="3F1B0FC1"/>
    <w:rsid w:val="3F246DEE"/>
    <w:rsid w:val="3F4A0470"/>
    <w:rsid w:val="3FD602BE"/>
    <w:rsid w:val="400468BA"/>
    <w:rsid w:val="401F30A7"/>
    <w:rsid w:val="40C61912"/>
    <w:rsid w:val="40D60483"/>
    <w:rsid w:val="40DA37BF"/>
    <w:rsid w:val="40EF446D"/>
    <w:rsid w:val="41366D43"/>
    <w:rsid w:val="4152018A"/>
    <w:rsid w:val="416C7DBD"/>
    <w:rsid w:val="41F122DB"/>
    <w:rsid w:val="4234381E"/>
    <w:rsid w:val="42407219"/>
    <w:rsid w:val="4286787E"/>
    <w:rsid w:val="42954201"/>
    <w:rsid w:val="429823CB"/>
    <w:rsid w:val="42A178EE"/>
    <w:rsid w:val="43050FCE"/>
    <w:rsid w:val="433831AE"/>
    <w:rsid w:val="433B256A"/>
    <w:rsid w:val="434374F6"/>
    <w:rsid w:val="43460D6B"/>
    <w:rsid w:val="43884ABF"/>
    <w:rsid w:val="43F31EC1"/>
    <w:rsid w:val="43FB1131"/>
    <w:rsid w:val="441A2345"/>
    <w:rsid w:val="44385910"/>
    <w:rsid w:val="443F0DB6"/>
    <w:rsid w:val="445E4478"/>
    <w:rsid w:val="448A3E84"/>
    <w:rsid w:val="449B6970"/>
    <w:rsid w:val="44E471D7"/>
    <w:rsid w:val="44F14237"/>
    <w:rsid w:val="458F40E0"/>
    <w:rsid w:val="45CC4338"/>
    <w:rsid w:val="45D4622A"/>
    <w:rsid w:val="462E0726"/>
    <w:rsid w:val="4683709C"/>
    <w:rsid w:val="46AA103F"/>
    <w:rsid w:val="46AF2877"/>
    <w:rsid w:val="46D00912"/>
    <w:rsid w:val="471760F8"/>
    <w:rsid w:val="47435B56"/>
    <w:rsid w:val="475D2AAD"/>
    <w:rsid w:val="476123B9"/>
    <w:rsid w:val="47720309"/>
    <w:rsid w:val="478009AC"/>
    <w:rsid w:val="47A42B87"/>
    <w:rsid w:val="47F60B91"/>
    <w:rsid w:val="484A0F00"/>
    <w:rsid w:val="484E4048"/>
    <w:rsid w:val="48787FAC"/>
    <w:rsid w:val="489B2F4B"/>
    <w:rsid w:val="48AB79B1"/>
    <w:rsid w:val="48B6475B"/>
    <w:rsid w:val="48C0305C"/>
    <w:rsid w:val="48CF07C1"/>
    <w:rsid w:val="48D1046F"/>
    <w:rsid w:val="48F7192E"/>
    <w:rsid w:val="49360D0C"/>
    <w:rsid w:val="493865B5"/>
    <w:rsid w:val="496C7C8D"/>
    <w:rsid w:val="498469FF"/>
    <w:rsid w:val="4A187D2D"/>
    <w:rsid w:val="4A40080C"/>
    <w:rsid w:val="4AC863B5"/>
    <w:rsid w:val="4ADD6C7C"/>
    <w:rsid w:val="4B410C16"/>
    <w:rsid w:val="4B44380D"/>
    <w:rsid w:val="4B7F5BCC"/>
    <w:rsid w:val="4BA94BA1"/>
    <w:rsid w:val="4BB30F42"/>
    <w:rsid w:val="4BEE18C0"/>
    <w:rsid w:val="4BF33563"/>
    <w:rsid w:val="4C2F0C57"/>
    <w:rsid w:val="4C3875F7"/>
    <w:rsid w:val="4C6E15BF"/>
    <w:rsid w:val="4CDF679D"/>
    <w:rsid w:val="4CFE0910"/>
    <w:rsid w:val="4D165162"/>
    <w:rsid w:val="4D170BB5"/>
    <w:rsid w:val="4D355CB8"/>
    <w:rsid w:val="4D4B54DB"/>
    <w:rsid w:val="4D640565"/>
    <w:rsid w:val="4D7213D6"/>
    <w:rsid w:val="4DA34171"/>
    <w:rsid w:val="4DB67C3F"/>
    <w:rsid w:val="4DB93C1C"/>
    <w:rsid w:val="4DDC3463"/>
    <w:rsid w:val="4E050942"/>
    <w:rsid w:val="4E274294"/>
    <w:rsid w:val="4E4207B2"/>
    <w:rsid w:val="4E5649B8"/>
    <w:rsid w:val="4EC84766"/>
    <w:rsid w:val="4ED133E0"/>
    <w:rsid w:val="4EE1639C"/>
    <w:rsid w:val="4EF94B51"/>
    <w:rsid w:val="4F1C5E74"/>
    <w:rsid w:val="4F425B80"/>
    <w:rsid w:val="4F7A5C1F"/>
    <w:rsid w:val="4F8F33DB"/>
    <w:rsid w:val="4F940DFD"/>
    <w:rsid w:val="4F9D2D1D"/>
    <w:rsid w:val="4FF8744B"/>
    <w:rsid w:val="4FFB507E"/>
    <w:rsid w:val="501C5568"/>
    <w:rsid w:val="503F1F7D"/>
    <w:rsid w:val="50815D87"/>
    <w:rsid w:val="50875DDA"/>
    <w:rsid w:val="50A67405"/>
    <w:rsid w:val="50BF7A86"/>
    <w:rsid w:val="50EB62E8"/>
    <w:rsid w:val="50F7462E"/>
    <w:rsid w:val="50FC2C3C"/>
    <w:rsid w:val="5165451C"/>
    <w:rsid w:val="518F7337"/>
    <w:rsid w:val="51D574B6"/>
    <w:rsid w:val="51D97625"/>
    <w:rsid w:val="52156ED9"/>
    <w:rsid w:val="52237D21"/>
    <w:rsid w:val="524B5983"/>
    <w:rsid w:val="528E2E9A"/>
    <w:rsid w:val="52A248C9"/>
    <w:rsid w:val="52A32C6F"/>
    <w:rsid w:val="52F1442F"/>
    <w:rsid w:val="533E54DE"/>
    <w:rsid w:val="53532AF5"/>
    <w:rsid w:val="5363174A"/>
    <w:rsid w:val="53781CD0"/>
    <w:rsid w:val="53BE66B0"/>
    <w:rsid w:val="53E429F3"/>
    <w:rsid w:val="53FC7D3D"/>
    <w:rsid w:val="544F4B17"/>
    <w:rsid w:val="54690E06"/>
    <w:rsid w:val="547D1B69"/>
    <w:rsid w:val="547D3CA1"/>
    <w:rsid w:val="54A71544"/>
    <w:rsid w:val="54E03240"/>
    <w:rsid w:val="54E161E6"/>
    <w:rsid w:val="55717EF0"/>
    <w:rsid w:val="55A25F6F"/>
    <w:rsid w:val="55BD62FC"/>
    <w:rsid w:val="55CF4789"/>
    <w:rsid w:val="55E24205"/>
    <w:rsid w:val="55FF3119"/>
    <w:rsid w:val="560376BD"/>
    <w:rsid w:val="562062EF"/>
    <w:rsid w:val="563F1955"/>
    <w:rsid w:val="56960007"/>
    <w:rsid w:val="569C33FD"/>
    <w:rsid w:val="56AD53E1"/>
    <w:rsid w:val="56E17E4B"/>
    <w:rsid w:val="571177FA"/>
    <w:rsid w:val="571A4D54"/>
    <w:rsid w:val="572C50A1"/>
    <w:rsid w:val="574A79DE"/>
    <w:rsid w:val="574E744D"/>
    <w:rsid w:val="57D26EB7"/>
    <w:rsid w:val="580653FD"/>
    <w:rsid w:val="580F63AE"/>
    <w:rsid w:val="584A5456"/>
    <w:rsid w:val="586B7753"/>
    <w:rsid w:val="588D5525"/>
    <w:rsid w:val="58977F4D"/>
    <w:rsid w:val="58AA581E"/>
    <w:rsid w:val="590A59DD"/>
    <w:rsid w:val="592C47F3"/>
    <w:rsid w:val="59BB60CF"/>
    <w:rsid w:val="59D34D02"/>
    <w:rsid w:val="5A4E7262"/>
    <w:rsid w:val="5A7C75A7"/>
    <w:rsid w:val="5A831B3A"/>
    <w:rsid w:val="5AEE72F1"/>
    <w:rsid w:val="5B411873"/>
    <w:rsid w:val="5BAE08BF"/>
    <w:rsid w:val="5BC24B08"/>
    <w:rsid w:val="5BE34185"/>
    <w:rsid w:val="5BF6728A"/>
    <w:rsid w:val="5C71213D"/>
    <w:rsid w:val="5C766F57"/>
    <w:rsid w:val="5C7865A7"/>
    <w:rsid w:val="5CB11B30"/>
    <w:rsid w:val="5CC74453"/>
    <w:rsid w:val="5CE40BE5"/>
    <w:rsid w:val="5D10309F"/>
    <w:rsid w:val="5D2A350C"/>
    <w:rsid w:val="5D2B4B79"/>
    <w:rsid w:val="5D3D543E"/>
    <w:rsid w:val="5D425978"/>
    <w:rsid w:val="5D6F03B3"/>
    <w:rsid w:val="5D8F57D0"/>
    <w:rsid w:val="5D996533"/>
    <w:rsid w:val="5DC90AF1"/>
    <w:rsid w:val="5E031072"/>
    <w:rsid w:val="5E1F3CF6"/>
    <w:rsid w:val="5E565CA2"/>
    <w:rsid w:val="5E674915"/>
    <w:rsid w:val="5E847D30"/>
    <w:rsid w:val="5EAB0D2C"/>
    <w:rsid w:val="5F2B1805"/>
    <w:rsid w:val="5F432E29"/>
    <w:rsid w:val="5F476193"/>
    <w:rsid w:val="5F4D6DA2"/>
    <w:rsid w:val="5FAE1170"/>
    <w:rsid w:val="5FB76261"/>
    <w:rsid w:val="604231D2"/>
    <w:rsid w:val="60573113"/>
    <w:rsid w:val="606D70BF"/>
    <w:rsid w:val="60E342E4"/>
    <w:rsid w:val="6109328C"/>
    <w:rsid w:val="61151723"/>
    <w:rsid w:val="614528AC"/>
    <w:rsid w:val="617B565A"/>
    <w:rsid w:val="619D6B85"/>
    <w:rsid w:val="61B363CD"/>
    <w:rsid w:val="61FB170E"/>
    <w:rsid w:val="62A00E16"/>
    <w:rsid w:val="62AE1B6E"/>
    <w:rsid w:val="62B12355"/>
    <w:rsid w:val="62D14C9E"/>
    <w:rsid w:val="633F463B"/>
    <w:rsid w:val="6383397C"/>
    <w:rsid w:val="639F7DC1"/>
    <w:rsid w:val="63C91391"/>
    <w:rsid w:val="63F30435"/>
    <w:rsid w:val="64050ABF"/>
    <w:rsid w:val="642D1CFD"/>
    <w:rsid w:val="64363468"/>
    <w:rsid w:val="64B32E2F"/>
    <w:rsid w:val="64E250F2"/>
    <w:rsid w:val="6500469F"/>
    <w:rsid w:val="652328A2"/>
    <w:rsid w:val="659F6081"/>
    <w:rsid w:val="65A70C8A"/>
    <w:rsid w:val="65A823F2"/>
    <w:rsid w:val="65B460C5"/>
    <w:rsid w:val="65ED414E"/>
    <w:rsid w:val="65EF4D81"/>
    <w:rsid w:val="66015A51"/>
    <w:rsid w:val="660B35D9"/>
    <w:rsid w:val="661B69B0"/>
    <w:rsid w:val="661F5331"/>
    <w:rsid w:val="66620E80"/>
    <w:rsid w:val="66AE4D4B"/>
    <w:rsid w:val="66B5420B"/>
    <w:rsid w:val="66D5214A"/>
    <w:rsid w:val="66DE3BC4"/>
    <w:rsid w:val="670F7889"/>
    <w:rsid w:val="67126567"/>
    <w:rsid w:val="67211260"/>
    <w:rsid w:val="67440533"/>
    <w:rsid w:val="67460997"/>
    <w:rsid w:val="675A79C7"/>
    <w:rsid w:val="676557D9"/>
    <w:rsid w:val="676D705E"/>
    <w:rsid w:val="67A05B2A"/>
    <w:rsid w:val="67DE2C50"/>
    <w:rsid w:val="67DE7084"/>
    <w:rsid w:val="67F7300E"/>
    <w:rsid w:val="67FC46E1"/>
    <w:rsid w:val="68342E8F"/>
    <w:rsid w:val="68483D18"/>
    <w:rsid w:val="687D4BDD"/>
    <w:rsid w:val="68952F54"/>
    <w:rsid w:val="68DC3EFE"/>
    <w:rsid w:val="69507B39"/>
    <w:rsid w:val="69545735"/>
    <w:rsid w:val="698E0FEB"/>
    <w:rsid w:val="6998799E"/>
    <w:rsid w:val="69A4593C"/>
    <w:rsid w:val="69B31FE7"/>
    <w:rsid w:val="6A3E6267"/>
    <w:rsid w:val="6ADB3525"/>
    <w:rsid w:val="6B8723B0"/>
    <w:rsid w:val="6B8B2B72"/>
    <w:rsid w:val="6C0065BE"/>
    <w:rsid w:val="6C0819BC"/>
    <w:rsid w:val="6C3170F0"/>
    <w:rsid w:val="6C5F11EC"/>
    <w:rsid w:val="6CA8352E"/>
    <w:rsid w:val="6CD725ED"/>
    <w:rsid w:val="6CEA4165"/>
    <w:rsid w:val="6D2621B1"/>
    <w:rsid w:val="6D376AFE"/>
    <w:rsid w:val="6D3B35C4"/>
    <w:rsid w:val="6D546223"/>
    <w:rsid w:val="6D8B4CA5"/>
    <w:rsid w:val="6D904634"/>
    <w:rsid w:val="6DF83112"/>
    <w:rsid w:val="6E141A2A"/>
    <w:rsid w:val="6E1761C3"/>
    <w:rsid w:val="6E755C41"/>
    <w:rsid w:val="6EA05AE1"/>
    <w:rsid w:val="6EAB5982"/>
    <w:rsid w:val="6EE06FEB"/>
    <w:rsid w:val="6F153218"/>
    <w:rsid w:val="6F76486B"/>
    <w:rsid w:val="6F924A6F"/>
    <w:rsid w:val="6FE55BBD"/>
    <w:rsid w:val="707B47C4"/>
    <w:rsid w:val="70851233"/>
    <w:rsid w:val="709B4B83"/>
    <w:rsid w:val="70B64C12"/>
    <w:rsid w:val="70C11755"/>
    <w:rsid w:val="70DB2A8C"/>
    <w:rsid w:val="70DD2618"/>
    <w:rsid w:val="70E6544B"/>
    <w:rsid w:val="70ED0986"/>
    <w:rsid w:val="71183726"/>
    <w:rsid w:val="71703069"/>
    <w:rsid w:val="71BF04EC"/>
    <w:rsid w:val="71CE4032"/>
    <w:rsid w:val="71CF0D35"/>
    <w:rsid w:val="71D728C9"/>
    <w:rsid w:val="71E003DD"/>
    <w:rsid w:val="71F41383"/>
    <w:rsid w:val="72021250"/>
    <w:rsid w:val="720F6D7D"/>
    <w:rsid w:val="72472963"/>
    <w:rsid w:val="726532FB"/>
    <w:rsid w:val="72950198"/>
    <w:rsid w:val="72EA4658"/>
    <w:rsid w:val="72EE22E1"/>
    <w:rsid w:val="7320375D"/>
    <w:rsid w:val="73592A0C"/>
    <w:rsid w:val="736C23ED"/>
    <w:rsid w:val="742B4973"/>
    <w:rsid w:val="74444F9D"/>
    <w:rsid w:val="748725BD"/>
    <w:rsid w:val="74A01DFE"/>
    <w:rsid w:val="74B00652"/>
    <w:rsid w:val="74BE4665"/>
    <w:rsid w:val="74C6075E"/>
    <w:rsid w:val="74F109DD"/>
    <w:rsid w:val="753442AC"/>
    <w:rsid w:val="754821D9"/>
    <w:rsid w:val="754B7577"/>
    <w:rsid w:val="75667239"/>
    <w:rsid w:val="756D0B1E"/>
    <w:rsid w:val="75B44176"/>
    <w:rsid w:val="762F10DD"/>
    <w:rsid w:val="76364E18"/>
    <w:rsid w:val="763912FD"/>
    <w:rsid w:val="7683577A"/>
    <w:rsid w:val="76945580"/>
    <w:rsid w:val="769B575F"/>
    <w:rsid w:val="76BE180F"/>
    <w:rsid w:val="772F5C46"/>
    <w:rsid w:val="774C11E5"/>
    <w:rsid w:val="77563BDF"/>
    <w:rsid w:val="77970501"/>
    <w:rsid w:val="77CE4E49"/>
    <w:rsid w:val="77DD1955"/>
    <w:rsid w:val="77E74459"/>
    <w:rsid w:val="784A2834"/>
    <w:rsid w:val="78986C8F"/>
    <w:rsid w:val="789F62A2"/>
    <w:rsid w:val="79064ACA"/>
    <w:rsid w:val="79200D68"/>
    <w:rsid w:val="794B1CCF"/>
    <w:rsid w:val="79847B32"/>
    <w:rsid w:val="799E4EDF"/>
    <w:rsid w:val="79C40791"/>
    <w:rsid w:val="79FD22A8"/>
    <w:rsid w:val="7A4D6843"/>
    <w:rsid w:val="7A721263"/>
    <w:rsid w:val="7A75725F"/>
    <w:rsid w:val="7B2241A0"/>
    <w:rsid w:val="7B395D5B"/>
    <w:rsid w:val="7B3B25BC"/>
    <w:rsid w:val="7B4E5F74"/>
    <w:rsid w:val="7B5B590C"/>
    <w:rsid w:val="7BC21276"/>
    <w:rsid w:val="7BF232D8"/>
    <w:rsid w:val="7BF65875"/>
    <w:rsid w:val="7BFB7C4D"/>
    <w:rsid w:val="7C0A10B0"/>
    <w:rsid w:val="7C2521C4"/>
    <w:rsid w:val="7C266A5E"/>
    <w:rsid w:val="7C620CEE"/>
    <w:rsid w:val="7C825497"/>
    <w:rsid w:val="7C846E4E"/>
    <w:rsid w:val="7CB47B40"/>
    <w:rsid w:val="7CC43F8D"/>
    <w:rsid w:val="7CC81220"/>
    <w:rsid w:val="7CD3033B"/>
    <w:rsid w:val="7CDD2498"/>
    <w:rsid w:val="7D1428F3"/>
    <w:rsid w:val="7D1C52E3"/>
    <w:rsid w:val="7D2E060E"/>
    <w:rsid w:val="7D3714E0"/>
    <w:rsid w:val="7D3A2618"/>
    <w:rsid w:val="7D405FDE"/>
    <w:rsid w:val="7D9F232A"/>
    <w:rsid w:val="7DAC3E58"/>
    <w:rsid w:val="7DB84B7D"/>
    <w:rsid w:val="7E2719D2"/>
    <w:rsid w:val="7E5563B3"/>
    <w:rsid w:val="7E5706C0"/>
    <w:rsid w:val="7E730C2B"/>
    <w:rsid w:val="7E797FB0"/>
    <w:rsid w:val="7EAA3560"/>
    <w:rsid w:val="7EC81A6C"/>
    <w:rsid w:val="7ED9582D"/>
    <w:rsid w:val="7F21731A"/>
    <w:rsid w:val="7F5D339E"/>
    <w:rsid w:val="7F66149A"/>
    <w:rsid w:val="7FE07536"/>
    <w:rsid w:val="7FF1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next w:val="1"/>
    <w:autoRedefine/>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1"/>
    <w:autoRedefine/>
    <w:qFormat/>
    <w:uiPriority w:val="0"/>
    <w:pPr>
      <w:keepNext/>
      <w:keepLines/>
      <w:spacing w:line="360" w:lineRule="auto"/>
      <w:outlineLvl w:val="3"/>
    </w:pPr>
    <w:rPr>
      <w:rFonts w:ascii="Arial" w:hAnsi="Arial" w:eastAsia="黑体"/>
      <w:b/>
      <w:sz w:val="24"/>
    </w:rPr>
  </w:style>
  <w:style w:type="paragraph" w:styleId="6">
    <w:name w:val="heading 5"/>
    <w:basedOn w:val="1"/>
    <w:next w:val="7"/>
    <w:autoRedefine/>
    <w:unhideWhenUsed/>
    <w:qFormat/>
    <w:uiPriority w:val="0"/>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8">
    <w:name w:val="index 8"/>
    <w:basedOn w:val="1"/>
    <w:next w:val="1"/>
    <w:autoRedefine/>
    <w:qFormat/>
    <w:uiPriority w:val="0"/>
    <w:pPr>
      <w:ind w:left="2940"/>
    </w:pPr>
  </w:style>
  <w:style w:type="paragraph" w:styleId="9">
    <w:name w:val="annotation text"/>
    <w:basedOn w:val="1"/>
    <w:link w:val="43"/>
    <w:autoRedefine/>
    <w:qFormat/>
    <w:uiPriority w:val="0"/>
    <w:pPr>
      <w:jc w:val="left"/>
    </w:pPr>
  </w:style>
  <w:style w:type="paragraph" w:styleId="10">
    <w:name w:val="Body Text"/>
    <w:basedOn w:val="1"/>
    <w:next w:val="1"/>
    <w:autoRedefine/>
    <w:qFormat/>
    <w:uiPriority w:val="0"/>
    <w:pPr>
      <w:spacing w:after="120"/>
    </w:pPr>
  </w:style>
  <w:style w:type="paragraph" w:styleId="11">
    <w:name w:val="Body Text Indent"/>
    <w:basedOn w:val="1"/>
    <w:link w:val="41"/>
    <w:autoRedefine/>
    <w:qFormat/>
    <w:uiPriority w:val="0"/>
    <w:pPr>
      <w:spacing w:line="200" w:lineRule="exact"/>
      <w:ind w:firstLine="301"/>
    </w:pPr>
    <w:rPr>
      <w:rFonts w:ascii="宋体" w:hAnsi="Courier New"/>
      <w:spacing w:val="-4"/>
      <w:sz w:val="18"/>
      <w:szCs w:val="20"/>
    </w:rPr>
  </w:style>
  <w:style w:type="paragraph" w:styleId="12">
    <w:name w:val="toc 3"/>
    <w:next w:val="1"/>
    <w:autoRedefine/>
    <w:qFormat/>
    <w:uiPriority w:val="0"/>
    <w:pPr>
      <w:widowControl w:val="0"/>
    </w:pPr>
    <w:rPr>
      <w:rFonts w:ascii="Calibri" w:hAnsi="Calibri" w:eastAsia="宋体" w:cs="Times New Roman"/>
      <w:smallCaps/>
      <w:kern w:val="2"/>
      <w:sz w:val="22"/>
      <w:szCs w:val="22"/>
      <w:lang w:val="en-US" w:eastAsia="zh-CN" w:bidi="ar-SA"/>
    </w:rPr>
  </w:style>
  <w:style w:type="paragraph" w:styleId="13">
    <w:name w:val="Plain Text"/>
    <w:basedOn w:val="1"/>
    <w:next w:val="5"/>
    <w:autoRedefine/>
    <w:qFormat/>
    <w:uiPriority w:val="0"/>
    <w:rPr>
      <w:rFonts w:ascii="宋体" w:hAnsi="Courier New"/>
      <w:szCs w:val="20"/>
    </w:rPr>
  </w:style>
  <w:style w:type="paragraph" w:styleId="14">
    <w:name w:val="Balloon Text"/>
    <w:basedOn w:val="1"/>
    <w:link w:val="40"/>
    <w:autoRedefine/>
    <w:qFormat/>
    <w:uiPriority w:val="0"/>
    <w:rPr>
      <w:sz w:val="18"/>
      <w:szCs w:val="18"/>
    </w:rPr>
  </w:style>
  <w:style w:type="paragraph" w:styleId="15">
    <w:name w:val="footer"/>
    <w:basedOn w:val="1"/>
    <w:next w:val="1"/>
    <w:autoRedefine/>
    <w:qFormat/>
    <w:uiPriority w:val="0"/>
    <w:pPr>
      <w:tabs>
        <w:tab w:val="center" w:pos="4153"/>
        <w:tab w:val="right" w:pos="8306"/>
      </w:tabs>
      <w:snapToGrid w:val="0"/>
      <w:jc w:val="left"/>
    </w:pPr>
    <w:rPr>
      <w:sz w:val="18"/>
      <w:szCs w:val="18"/>
    </w:rPr>
  </w:style>
  <w:style w:type="paragraph" w:styleId="16">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7">
    <w:name w:val="toc 1"/>
    <w:next w:val="1"/>
    <w:autoRedefine/>
    <w:qFormat/>
    <w:uiPriority w:val="0"/>
    <w:pPr>
      <w:widowControl w:val="0"/>
      <w:spacing w:before="360" w:after="360"/>
    </w:pPr>
    <w:rPr>
      <w:rFonts w:ascii="Calibri" w:hAnsi="Calibri" w:eastAsia="宋体" w:cs="Times New Roman"/>
      <w:b/>
      <w:bCs/>
      <w:caps/>
      <w:kern w:val="2"/>
      <w:sz w:val="22"/>
      <w:szCs w:val="22"/>
      <w:u w:val="single"/>
      <w:lang w:val="en-US" w:eastAsia="zh-CN" w:bidi="ar-SA"/>
    </w:rPr>
  </w:style>
  <w:style w:type="paragraph" w:styleId="18">
    <w:name w:val="List"/>
    <w:basedOn w:val="1"/>
    <w:autoRedefine/>
    <w:qFormat/>
    <w:uiPriority w:val="0"/>
    <w:pPr>
      <w:ind w:left="200" w:hanging="200" w:hangingChars="200"/>
    </w:pPr>
    <w:rPr>
      <w:sz w:val="28"/>
    </w:rPr>
  </w:style>
  <w:style w:type="paragraph" w:styleId="19">
    <w:name w:val="toc 2"/>
    <w:next w:val="1"/>
    <w:autoRedefine/>
    <w:qFormat/>
    <w:uiPriority w:val="0"/>
    <w:pPr>
      <w:widowControl w:val="0"/>
    </w:pPr>
    <w:rPr>
      <w:rFonts w:ascii="Calibri" w:hAnsi="Calibri" w:eastAsia="宋体" w:cs="Times New Roman"/>
      <w:b/>
      <w:bCs/>
      <w:smallCaps/>
      <w:kern w:val="2"/>
      <w:sz w:val="22"/>
      <w:szCs w:val="22"/>
      <w:lang w:val="en-US" w:eastAsia="zh-CN" w:bidi="ar-SA"/>
    </w:rPr>
  </w:style>
  <w:style w:type="paragraph" w:styleId="20">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lang w:val="en-US" w:eastAsia="zh-CN" w:bidi="ar-SA"/>
    </w:rPr>
  </w:style>
  <w:style w:type="paragraph" w:styleId="21">
    <w:name w:val="annotation subject"/>
    <w:basedOn w:val="9"/>
    <w:next w:val="9"/>
    <w:link w:val="44"/>
    <w:autoRedefine/>
    <w:qFormat/>
    <w:uiPriority w:val="0"/>
    <w:rPr>
      <w:b/>
      <w:bCs/>
    </w:rPr>
  </w:style>
  <w:style w:type="paragraph" w:styleId="22">
    <w:name w:val="Body Text First Indent 2"/>
    <w:basedOn w:val="11"/>
    <w:link w:val="42"/>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24">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6">
    <w:name w:val="Strong"/>
    <w:basedOn w:val="25"/>
    <w:qFormat/>
    <w:uiPriority w:val="0"/>
    <w:rPr>
      <w:b/>
    </w:rPr>
  </w:style>
  <w:style w:type="character" w:styleId="27">
    <w:name w:val="page number"/>
    <w:autoRedefine/>
    <w:qFormat/>
    <w:uiPriority w:val="0"/>
  </w:style>
  <w:style w:type="character" w:styleId="28">
    <w:name w:val="FollowedHyperlink"/>
    <w:basedOn w:val="25"/>
    <w:autoRedefine/>
    <w:qFormat/>
    <w:uiPriority w:val="0"/>
    <w:rPr>
      <w:rFonts w:hint="eastAsia" w:ascii="微软雅黑" w:hAnsi="微软雅黑" w:eastAsia="微软雅黑" w:cs="微软雅黑"/>
      <w:color w:val="02396F"/>
      <w:u w:val="single"/>
    </w:rPr>
  </w:style>
  <w:style w:type="character" w:styleId="29">
    <w:name w:val="Hyperlink"/>
    <w:autoRedefine/>
    <w:qFormat/>
    <w:uiPriority w:val="0"/>
    <w:rPr>
      <w:color w:val="0000FF"/>
      <w:u w:val="single"/>
    </w:rPr>
  </w:style>
  <w:style w:type="character" w:styleId="30">
    <w:name w:val="annotation reference"/>
    <w:autoRedefine/>
    <w:qFormat/>
    <w:uiPriority w:val="0"/>
    <w:rPr>
      <w:sz w:val="21"/>
      <w:szCs w:val="21"/>
    </w:rPr>
  </w:style>
  <w:style w:type="paragraph" w:customStyle="1" w:styleId="31">
    <w:name w:val="样式1"/>
    <w:basedOn w:val="1"/>
    <w:qFormat/>
    <w:uiPriority w:val="0"/>
    <w:pPr>
      <w:spacing w:line="360" w:lineRule="auto"/>
    </w:pPr>
    <w:rPr>
      <w:rFonts w:ascii="宋体"/>
      <w:sz w:val="24"/>
    </w:rPr>
  </w:style>
  <w:style w:type="paragraph" w:customStyle="1" w:styleId="32">
    <w:name w:val="表格文字"/>
    <w:basedOn w:val="11"/>
    <w:next w:val="10"/>
    <w:autoRedefine/>
    <w:qFormat/>
    <w:uiPriority w:val="0"/>
    <w:pPr>
      <w:adjustRightInd w:val="0"/>
      <w:spacing w:line="420" w:lineRule="atLeast"/>
      <w:jc w:val="left"/>
      <w:textAlignment w:val="baseline"/>
    </w:pPr>
    <w:rPr>
      <w:rFonts w:ascii="Times New Roman" w:hAnsi="Times New Roman"/>
      <w:kern w:val="0"/>
      <w:sz w:val="21"/>
      <w:szCs w:val="24"/>
    </w:rPr>
  </w:style>
  <w:style w:type="paragraph" w:customStyle="1" w:styleId="33">
    <w:name w:val="Default"/>
    <w:next w:val="3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正文文字 6"/>
    <w:next w:val="1"/>
    <w:autoRedefine/>
    <w:qFormat/>
    <w:uiPriority w:val="0"/>
    <w:pPr>
      <w:widowControl w:val="0"/>
      <w:ind w:left="240"/>
      <w:jc w:val="both"/>
    </w:pPr>
    <w:rPr>
      <w:rFonts w:ascii="宋体" w:hAnsi="Calibri" w:eastAsia="宋体" w:cs="Times New Roman"/>
      <w:b/>
      <w:bCs/>
      <w:kern w:val="2"/>
      <w:sz w:val="32"/>
      <w:szCs w:val="32"/>
      <w:lang w:val="en-US" w:eastAsia="zh-CN" w:bidi="ar-SA"/>
    </w:rPr>
  </w:style>
  <w:style w:type="character" w:customStyle="1" w:styleId="35">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6">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lang w:val="en-US" w:eastAsia="zh-CN" w:bidi="ar-SA"/>
    </w:rPr>
  </w:style>
  <w:style w:type="paragraph" w:customStyle="1" w:styleId="37">
    <w:name w:val="正文缩进1"/>
    <w:next w:val="11"/>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8">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9">
    <w:name w:val="List Paragraph"/>
    <w:basedOn w:val="1"/>
    <w:autoRedefine/>
    <w:qFormat/>
    <w:uiPriority w:val="34"/>
    <w:pPr>
      <w:ind w:firstLine="420" w:firstLineChars="200"/>
    </w:pPr>
  </w:style>
  <w:style w:type="character" w:customStyle="1" w:styleId="40">
    <w:name w:val="批注框文本 字符"/>
    <w:basedOn w:val="25"/>
    <w:link w:val="14"/>
    <w:autoRedefine/>
    <w:qFormat/>
    <w:uiPriority w:val="0"/>
    <w:rPr>
      <w:rFonts w:ascii="Times New Roman" w:hAnsi="Times New Roman"/>
      <w:kern w:val="2"/>
      <w:sz w:val="18"/>
      <w:szCs w:val="18"/>
    </w:rPr>
  </w:style>
  <w:style w:type="character" w:customStyle="1" w:styleId="41">
    <w:name w:val="正文文本缩进 字符"/>
    <w:basedOn w:val="25"/>
    <w:link w:val="11"/>
    <w:autoRedefine/>
    <w:qFormat/>
    <w:uiPriority w:val="0"/>
    <w:rPr>
      <w:rFonts w:ascii="宋体" w:hAnsi="Courier New"/>
      <w:spacing w:val="-4"/>
      <w:kern w:val="2"/>
      <w:sz w:val="18"/>
    </w:rPr>
  </w:style>
  <w:style w:type="character" w:customStyle="1" w:styleId="42">
    <w:name w:val="正文首行缩进 2 字符"/>
    <w:basedOn w:val="41"/>
    <w:link w:val="22"/>
    <w:autoRedefine/>
    <w:qFormat/>
    <w:uiPriority w:val="0"/>
    <w:rPr>
      <w:rFonts w:ascii="Times New Roman" w:hAnsi="Times New Roman"/>
      <w:spacing w:val="-4"/>
      <w:kern w:val="2"/>
      <w:sz w:val="21"/>
      <w:szCs w:val="24"/>
    </w:rPr>
  </w:style>
  <w:style w:type="character" w:customStyle="1" w:styleId="43">
    <w:name w:val="批注文字 字符"/>
    <w:basedOn w:val="25"/>
    <w:link w:val="9"/>
    <w:autoRedefine/>
    <w:qFormat/>
    <w:uiPriority w:val="0"/>
    <w:rPr>
      <w:kern w:val="2"/>
      <w:sz w:val="21"/>
      <w:szCs w:val="24"/>
    </w:rPr>
  </w:style>
  <w:style w:type="character" w:customStyle="1" w:styleId="44">
    <w:name w:val="批注主题 字符"/>
    <w:basedOn w:val="43"/>
    <w:link w:val="21"/>
    <w:autoRedefine/>
    <w:qFormat/>
    <w:uiPriority w:val="0"/>
    <w:rPr>
      <w:b/>
      <w:bCs/>
      <w:kern w:val="2"/>
      <w:sz w:val="21"/>
      <w:szCs w:val="24"/>
    </w:rPr>
  </w:style>
  <w:style w:type="paragraph" w:customStyle="1" w:styleId="45">
    <w:name w:val="Heading1"/>
    <w:basedOn w:val="1"/>
    <w:next w:val="1"/>
    <w:autoRedefine/>
    <w:qFormat/>
    <w:uiPriority w:val="0"/>
    <w:pPr>
      <w:spacing w:before="43"/>
      <w:jc w:val="center"/>
      <w:textAlignment w:val="baseline"/>
    </w:pPr>
    <w:rPr>
      <w:rFonts w:ascii="黑体" w:hAnsi="黑体" w:eastAsia="黑体" w:cs="黑体"/>
      <w:b/>
      <w:bCs/>
      <w:sz w:val="32"/>
      <w:szCs w:val="32"/>
      <w:lang w:val="zh-CN" w:bidi="zh-CN"/>
    </w:rPr>
  </w:style>
  <w:style w:type="paragraph" w:customStyle="1" w:styleId="46">
    <w:name w:val="p16"/>
    <w:basedOn w:val="1"/>
    <w:qFormat/>
    <w:uiPriority w:val="0"/>
    <w:pPr>
      <w:widowControl/>
      <w:spacing w:after="200" w:line="276" w:lineRule="auto"/>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DF2CD4-6700-4185-86A1-865684030AE6}">
  <ds:schemaRefs/>
</ds:datastoreItem>
</file>

<file path=docProps/app.xml><?xml version="1.0" encoding="utf-8"?>
<Properties xmlns="http://schemas.openxmlformats.org/officeDocument/2006/extended-properties" xmlns:vt="http://schemas.openxmlformats.org/officeDocument/2006/docPropsVTypes">
  <Template>Normal.dotm</Template>
  <Pages>79</Pages>
  <Words>43892</Words>
  <Characters>46428</Characters>
  <Lines>390</Lines>
  <Paragraphs>109</Paragraphs>
  <TotalTime>37</TotalTime>
  <ScaleCrop>false</ScaleCrop>
  <LinksUpToDate>false</LinksUpToDate>
  <CharactersWithSpaces>51993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2024-08-07T09:27:00Z</dcterms:created>
  <dc:creator>Administrator</dc:creator>
  <cp:lastModifiedBy>Administrator</cp:lastModifiedBy>
  <dcterms:modified xsi:type="dcterms:W3CDTF">2024-11-05T08:12:53Z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AB28E17713F542C8ABF8654A1A3AFDC9_13</vt:lpwstr>
  </property>
</Properties>
</file>