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28"/>
          <w:szCs w:val="28"/>
        </w:rPr>
      </w:pPr>
      <w:bookmarkStart w:id="0" w:name="_GoBack"/>
      <w:bookmarkEnd w:id="0"/>
      <w:r>
        <w:rPr>
          <w:rFonts w:hint="eastAsia" w:ascii="黑体" w:hAnsi="黑体" w:eastAsia="黑体"/>
          <w:sz w:val="28"/>
          <w:szCs w:val="28"/>
        </w:rPr>
        <w:t>附件</w:t>
      </w:r>
    </w:p>
    <w:p>
      <w:pPr>
        <w:spacing w:line="560" w:lineRule="exact"/>
        <w:jc w:val="center"/>
        <w:rPr>
          <w:rFonts w:ascii="方正小标宋简体" w:hAnsi="黑体" w:eastAsia="方正小标宋简体"/>
          <w:sz w:val="44"/>
          <w:szCs w:val="44"/>
        </w:rPr>
      </w:pPr>
      <w:r>
        <w:rPr>
          <w:rFonts w:hint="eastAsia" w:ascii="方正小标宋简体" w:hAnsi="仿宋" w:eastAsia="方正小标宋简体"/>
          <w:sz w:val="44"/>
          <w:szCs w:val="44"/>
        </w:rPr>
        <w:t>广西医科大学本科教育教学审核评估指标任务分工表</w:t>
      </w:r>
    </w:p>
    <w:tbl>
      <w:tblPr>
        <w:tblStyle w:val="7"/>
        <w:tblW w:w="5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54"/>
        <w:gridCol w:w="1454"/>
        <w:gridCol w:w="6440"/>
        <w:gridCol w:w="201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jc w:val="center"/>
        </w:trPr>
        <w:tc>
          <w:tcPr>
            <w:tcW w:w="442" w:type="pct"/>
            <w:vMerge w:val="restart"/>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一级指标</w:t>
            </w:r>
          </w:p>
        </w:tc>
        <w:tc>
          <w:tcPr>
            <w:tcW w:w="490" w:type="pct"/>
            <w:vMerge w:val="restart"/>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专项工作组牵头单位</w:t>
            </w:r>
          </w:p>
        </w:tc>
        <w:tc>
          <w:tcPr>
            <w:tcW w:w="490" w:type="pct"/>
            <w:vMerge w:val="restart"/>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二级指标</w:t>
            </w:r>
          </w:p>
        </w:tc>
        <w:tc>
          <w:tcPr>
            <w:tcW w:w="3578" w:type="pct"/>
            <w:gridSpan w:val="3"/>
            <w:shd w:val="clear" w:color="auto" w:fill="auto"/>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blHeader/>
          <w:jc w:val="center"/>
        </w:trPr>
        <w:tc>
          <w:tcPr>
            <w:tcW w:w="442" w:type="pct"/>
            <w:vMerge w:val="continue"/>
            <w:shd w:val="clear" w:color="auto" w:fill="auto"/>
            <w:vAlign w:val="center"/>
          </w:tcPr>
          <w:p>
            <w:pPr>
              <w:widowControl/>
              <w:jc w:val="center"/>
              <w:rPr>
                <w:rFonts w:ascii="仿宋" w:hAnsi="仿宋" w:eastAsia="仿宋" w:cs="宋体"/>
                <w:b/>
                <w:bCs/>
                <w:color w:val="000000"/>
                <w:kern w:val="0"/>
                <w:szCs w:val="21"/>
              </w:rPr>
            </w:pPr>
          </w:p>
        </w:tc>
        <w:tc>
          <w:tcPr>
            <w:tcW w:w="490" w:type="pct"/>
            <w:vMerge w:val="continue"/>
            <w:shd w:val="clear" w:color="auto" w:fill="auto"/>
            <w:vAlign w:val="center"/>
          </w:tcPr>
          <w:p>
            <w:pPr>
              <w:widowControl/>
              <w:jc w:val="center"/>
              <w:rPr>
                <w:rFonts w:ascii="仿宋" w:hAnsi="仿宋" w:eastAsia="仿宋" w:cs="宋体"/>
                <w:b/>
                <w:bCs/>
                <w:color w:val="000000"/>
                <w:kern w:val="0"/>
                <w:szCs w:val="21"/>
              </w:rPr>
            </w:pPr>
          </w:p>
        </w:tc>
        <w:tc>
          <w:tcPr>
            <w:tcW w:w="490" w:type="pct"/>
            <w:vMerge w:val="continue"/>
            <w:shd w:val="clear" w:color="auto" w:fill="auto"/>
            <w:vAlign w:val="center"/>
          </w:tcPr>
          <w:p>
            <w:pPr>
              <w:widowControl/>
              <w:jc w:val="center"/>
              <w:rPr>
                <w:rFonts w:ascii="仿宋" w:hAnsi="仿宋" w:eastAsia="仿宋" w:cs="宋体"/>
                <w:b/>
                <w:bCs/>
                <w:color w:val="000000"/>
                <w:kern w:val="0"/>
                <w:szCs w:val="21"/>
              </w:rPr>
            </w:pPr>
          </w:p>
        </w:tc>
        <w:tc>
          <w:tcPr>
            <w:tcW w:w="2171" w:type="pct"/>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指标内容</w:t>
            </w:r>
          </w:p>
        </w:tc>
        <w:tc>
          <w:tcPr>
            <w:tcW w:w="679" w:type="pct"/>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牵头单位</w:t>
            </w:r>
          </w:p>
        </w:tc>
        <w:tc>
          <w:tcPr>
            <w:tcW w:w="728" w:type="pct"/>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协同单位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1.办学方向与本科地位</w:t>
            </w:r>
          </w:p>
        </w:tc>
        <w:tc>
          <w:tcPr>
            <w:tcW w:w="490" w:type="pct"/>
            <w:vMerge w:val="restart"/>
            <w:shd w:val="clear" w:color="auto" w:fill="auto"/>
            <w:vAlign w:val="center"/>
          </w:tcPr>
          <w:p>
            <w:pPr>
              <w:widowControl/>
              <w:spacing w:line="264"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发展规划与学科建设中心</w:t>
            </w:r>
          </w:p>
        </w:tc>
        <w:tc>
          <w:tcPr>
            <w:tcW w:w="490" w:type="pct"/>
            <w:vMerge w:val="restart"/>
            <w:shd w:val="clear" w:color="auto" w:fill="auto"/>
            <w:vAlign w:val="center"/>
          </w:tcPr>
          <w:p>
            <w:pPr>
              <w:widowControl/>
              <w:spacing w:line="264"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1.1党的领导</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1.1.1 学校坚持党的全面领导，依法治教、依法办学、依法治校，围绕国家战略需求培养担当民族复兴大任的时代新人情况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党校办</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发展规划与学科建设中心、教务处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spacing w:line="264" w:lineRule="auto"/>
              <w:jc w:val="left"/>
              <w:rPr>
                <w:rFonts w:ascii="仿宋" w:hAnsi="仿宋" w:eastAsia="仿宋" w:cs="宋体"/>
                <w:color w:val="000000"/>
                <w:kern w:val="0"/>
                <w:szCs w:val="21"/>
              </w:rPr>
            </w:pPr>
          </w:p>
        </w:tc>
        <w:tc>
          <w:tcPr>
            <w:tcW w:w="490" w:type="pct"/>
            <w:vMerge w:val="continue"/>
            <w:shd w:val="clear" w:color="auto" w:fill="auto"/>
            <w:vAlign w:val="center"/>
          </w:tcPr>
          <w:p>
            <w:pPr>
              <w:widowControl/>
              <w:spacing w:line="264" w:lineRule="auto"/>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1.1.2 学校坚持社会主义办学方向、贯彻落实立德树人根本任务、把立德树人成效作为检验学校一切工作根本标准情况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党校办</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发展规划与学科建设中心、宣传部、学工处、校团委、教务处、各二级学院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spacing w:line="264" w:lineRule="auto"/>
              <w:jc w:val="center"/>
              <w:rPr>
                <w:rFonts w:ascii="仿宋" w:hAnsi="仿宋" w:eastAsia="仿宋" w:cs="宋体"/>
                <w:color w:val="000000"/>
                <w:kern w:val="0"/>
                <w:szCs w:val="21"/>
              </w:rPr>
            </w:pPr>
          </w:p>
        </w:tc>
        <w:tc>
          <w:tcPr>
            <w:tcW w:w="490" w:type="pct"/>
            <w:vMerge w:val="restart"/>
            <w:shd w:val="clear" w:color="auto" w:fill="auto"/>
            <w:vAlign w:val="center"/>
          </w:tcPr>
          <w:p>
            <w:pPr>
              <w:widowControl/>
              <w:spacing w:line="264"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1.2思政教育</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1.2.1 思想政治工作体系建设和“三全育人”工作格局建立情况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宣传部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spacing w:line="264" w:lineRule="auto"/>
              <w:jc w:val="left"/>
              <w:rPr>
                <w:rFonts w:ascii="仿宋" w:hAnsi="仿宋" w:eastAsia="仿宋" w:cs="宋体"/>
                <w:color w:val="000000"/>
                <w:kern w:val="0"/>
                <w:szCs w:val="21"/>
              </w:rPr>
            </w:pPr>
          </w:p>
        </w:tc>
        <w:tc>
          <w:tcPr>
            <w:tcW w:w="490" w:type="pct"/>
            <w:vMerge w:val="continue"/>
            <w:shd w:val="clear" w:color="auto" w:fill="auto"/>
            <w:vAlign w:val="center"/>
          </w:tcPr>
          <w:p>
            <w:pPr>
              <w:widowControl/>
              <w:spacing w:line="264" w:lineRule="auto"/>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1.2.2 加强思想政治理论课教师队伍和思政课程建设情况，按要求开设“习近平总书记关于教育的重要论述研究”课程情况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【必选】思政课专任教师与</w:t>
            </w:r>
            <w:r>
              <w:rPr>
                <w:rFonts w:hint="eastAsia" w:ascii="仿宋" w:hAnsi="仿宋" w:eastAsia="仿宋" w:cs="宋体"/>
                <w:kern w:val="0"/>
                <w:szCs w:val="21"/>
              </w:rPr>
              <w:t>折合在校生比例≥</w:t>
            </w:r>
            <w:r>
              <w:rPr>
                <w:rFonts w:hint="eastAsia" w:ascii="仿宋" w:hAnsi="仿宋" w:eastAsia="仿宋" w:cs="宋体"/>
                <w:color w:val="000000"/>
                <w:kern w:val="0"/>
                <w:szCs w:val="21"/>
              </w:rPr>
              <w:t>1:350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【必选】专职党务工作人员和思想政治工作人员总数与全校师生人数比例≥1:100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【必选】生均思政工作和党务工作队伍建设专项经费≥20元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【必选】生均网络思政工作专项经费≥40元</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宣传部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马克思主义学院、人事处、组织部、财务处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spacing w:line="264" w:lineRule="auto"/>
              <w:jc w:val="left"/>
              <w:rPr>
                <w:rFonts w:ascii="仿宋" w:hAnsi="仿宋" w:eastAsia="仿宋" w:cs="宋体"/>
                <w:color w:val="000000"/>
                <w:kern w:val="0"/>
                <w:szCs w:val="21"/>
              </w:rPr>
            </w:pPr>
          </w:p>
        </w:tc>
        <w:tc>
          <w:tcPr>
            <w:tcW w:w="490" w:type="pct"/>
            <w:vMerge w:val="continue"/>
            <w:shd w:val="clear" w:color="auto" w:fill="auto"/>
            <w:vAlign w:val="center"/>
          </w:tcPr>
          <w:p>
            <w:pPr>
              <w:widowControl/>
              <w:spacing w:line="264" w:lineRule="auto"/>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1.2.3 “课程思政”建设与成效，课程思政示范课程、课程思政教学研究示范中心以及课程思政教学名师和团队的建设及选树情况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spacing w:line="264" w:lineRule="auto"/>
              <w:jc w:val="left"/>
              <w:rPr>
                <w:rFonts w:ascii="仿宋" w:hAnsi="仿宋" w:eastAsia="仿宋" w:cs="宋体"/>
                <w:color w:val="000000"/>
                <w:kern w:val="0"/>
                <w:szCs w:val="21"/>
              </w:rPr>
            </w:pPr>
          </w:p>
        </w:tc>
        <w:tc>
          <w:tcPr>
            <w:tcW w:w="490" w:type="pct"/>
            <w:vMerge w:val="continue"/>
            <w:shd w:val="clear" w:color="auto" w:fill="auto"/>
            <w:vAlign w:val="center"/>
          </w:tcPr>
          <w:p>
            <w:pPr>
              <w:widowControl/>
              <w:spacing w:line="264" w:lineRule="auto"/>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1.2.4 学校对教师、学生出现思想政治、道德品质等负面问题能否及时发现和妥当处置情况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教师工作部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42" w:type="pct"/>
            <w:vMerge w:val="restart"/>
            <w:shd w:val="clear" w:color="auto" w:fill="auto"/>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1.办学方向与本科地位</w:t>
            </w:r>
          </w:p>
        </w:tc>
        <w:tc>
          <w:tcPr>
            <w:tcW w:w="490" w:type="pct"/>
            <w:vMerge w:val="restart"/>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发展规划与学科建设中心</w:t>
            </w:r>
          </w:p>
        </w:tc>
        <w:tc>
          <w:tcPr>
            <w:tcW w:w="490" w:type="pct"/>
            <w:vMerge w:val="restart"/>
            <w:shd w:val="clear" w:color="auto" w:fill="auto"/>
            <w:vAlign w:val="center"/>
          </w:tcPr>
          <w:p>
            <w:pPr>
              <w:widowControl/>
              <w:spacing w:line="264" w:lineRule="auto"/>
              <w:jc w:val="left"/>
              <w:rPr>
                <w:rFonts w:ascii="仿宋" w:hAnsi="仿宋" w:eastAsia="仿宋" w:cs="宋体"/>
                <w:color w:val="000000"/>
                <w:kern w:val="0"/>
                <w:szCs w:val="21"/>
              </w:rPr>
            </w:pPr>
            <w:r>
              <w:rPr>
                <w:rFonts w:hint="eastAsia" w:ascii="仿宋" w:hAnsi="仿宋" w:eastAsia="仿宋" w:cs="宋体"/>
                <w:color w:val="000000"/>
                <w:kern w:val="0"/>
                <w:szCs w:val="21"/>
              </w:rPr>
              <w:t>1.3本科地位</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1.3.1 “以本为本”落实情况，党委重视、校长主抓、院长落实的本科教育良好氛围形成情况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党校办</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组织部、教务处、各二级学院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42" w:type="pct"/>
            <w:vMerge w:val="continue"/>
            <w:shd w:val="clear" w:color="auto" w:fill="auto"/>
            <w:vAlign w:val="center"/>
          </w:tcPr>
          <w:p>
            <w:pPr>
              <w:jc w:val="left"/>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000000"/>
                <w:kern w:val="0"/>
                <w:szCs w:val="21"/>
              </w:rPr>
            </w:pPr>
          </w:p>
        </w:tc>
        <w:tc>
          <w:tcPr>
            <w:tcW w:w="490" w:type="pct"/>
            <w:vMerge w:val="continue"/>
            <w:shd w:val="clear" w:color="auto" w:fill="auto"/>
            <w:vAlign w:val="center"/>
          </w:tcPr>
          <w:p>
            <w:pPr>
              <w:jc w:val="left"/>
              <w:rPr>
                <w:rFonts w:ascii="仿宋" w:hAnsi="仿宋" w:eastAsia="仿宋" w:cs="宋体"/>
                <w:color w:val="000000"/>
                <w:kern w:val="0"/>
                <w:szCs w:val="21"/>
              </w:rPr>
            </w:pPr>
          </w:p>
        </w:tc>
        <w:tc>
          <w:tcPr>
            <w:tcW w:w="2171" w:type="pct"/>
            <w:shd w:val="clear" w:color="auto" w:fill="auto"/>
            <w:vAlign w:val="center"/>
          </w:tcPr>
          <w:p>
            <w:pPr>
              <w:widowControl/>
              <w:spacing w:line="264" w:lineRule="auto"/>
              <w:rPr>
                <w:rFonts w:ascii="仿宋" w:hAnsi="仿宋" w:eastAsia="仿宋" w:cs="宋体"/>
                <w:color w:val="000000"/>
                <w:kern w:val="0"/>
                <w:szCs w:val="21"/>
              </w:rPr>
            </w:pPr>
            <w:r>
              <w:rPr>
                <w:rFonts w:hint="eastAsia" w:ascii="仿宋" w:hAnsi="仿宋" w:eastAsia="仿宋" w:cs="宋体"/>
                <w:color w:val="000000"/>
                <w:kern w:val="0"/>
                <w:szCs w:val="21"/>
              </w:rPr>
              <w:t>1.3.2 “四个回归”的实现情况，推进学生刻苦读书学习、教师潜心教书育人、学校倾心培养社会主义建设者和接班人等方面的举措与成效</w:t>
            </w:r>
          </w:p>
        </w:tc>
        <w:tc>
          <w:tcPr>
            <w:tcW w:w="679" w:type="pct"/>
            <w:shd w:val="clear" w:color="auto" w:fill="auto"/>
            <w:vAlign w:val="center"/>
          </w:tcPr>
          <w:p>
            <w:pPr>
              <w:widowControl/>
              <w:spacing w:line="264"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spacing w:line="264" w:lineRule="auto"/>
              <w:jc w:val="center"/>
              <w:rPr>
                <w:rFonts w:ascii="仿宋" w:hAnsi="仿宋" w:eastAsia="仿宋" w:cs="宋体"/>
                <w:color w:val="000000"/>
                <w:kern w:val="0"/>
                <w:szCs w:val="21"/>
              </w:rPr>
            </w:pPr>
            <w:r>
              <w:rPr>
                <w:rFonts w:hint="eastAsia" w:ascii="仿宋" w:hAnsi="仿宋" w:eastAsia="仿宋" w:cs="宋体"/>
                <w:color w:val="000000"/>
                <w:kern w:val="0"/>
                <w:szCs w:val="21"/>
              </w:rPr>
              <w:t>学工处、人事处、教师工作部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center"/>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1.3.3 教学经费、教学资源条件、教师精力投入等优先保障本科教学的机制建设情况</w:t>
            </w:r>
            <w:r>
              <w:rPr>
                <w:rFonts w:hint="eastAsia" w:ascii="仿宋" w:hAnsi="仿宋" w:eastAsia="仿宋" w:cs="宋体"/>
                <w:kern w:val="0"/>
                <w:szCs w:val="21"/>
              </w:rPr>
              <w:br w:type="textWrapping"/>
            </w:r>
            <w:r>
              <w:rPr>
                <w:rFonts w:hint="eastAsia" w:ascii="仿宋" w:hAnsi="仿宋" w:eastAsia="仿宋" w:cs="宋体"/>
                <w:kern w:val="0"/>
                <w:szCs w:val="21"/>
              </w:rPr>
              <w:t>【必选】生均年教学日常运行支出≥1200元（备注5）</w:t>
            </w:r>
            <w:r>
              <w:rPr>
                <w:rFonts w:hint="eastAsia" w:ascii="仿宋" w:hAnsi="仿宋" w:eastAsia="仿宋" w:cs="宋体"/>
                <w:kern w:val="0"/>
                <w:szCs w:val="21"/>
              </w:rPr>
              <w:br w:type="textWrapping"/>
            </w:r>
            <w:r>
              <w:rPr>
                <w:rFonts w:hint="eastAsia" w:ascii="仿宋" w:hAnsi="仿宋" w:eastAsia="仿宋" w:cs="宋体"/>
                <w:kern w:val="0"/>
                <w:szCs w:val="21"/>
              </w:rPr>
              <w:t>【必选】教学日常运行支出占经常性预算内教育事业费拨款（205类教育拨款扣除专项拨款）与学费收入之和的比例≥13%（教学日常运行支出统计要求见备注5）</w:t>
            </w:r>
            <w:r>
              <w:rPr>
                <w:rFonts w:hint="eastAsia" w:ascii="仿宋" w:hAnsi="仿宋" w:eastAsia="仿宋" w:cs="宋体"/>
                <w:kern w:val="0"/>
                <w:szCs w:val="21"/>
              </w:rPr>
              <w:br w:type="textWrapping"/>
            </w:r>
            <w:r>
              <w:rPr>
                <w:rFonts w:hint="eastAsia" w:ascii="仿宋" w:hAnsi="仿宋" w:eastAsia="仿宋" w:cs="宋体"/>
                <w:kern w:val="0"/>
                <w:szCs w:val="21"/>
              </w:rPr>
              <w:t>【必选】年新增教学科研仪器设备值所占比例≥10%（总值超过1亿的，当年新增超过1千万即为合格。要求见备注6）</w:t>
            </w:r>
            <w:r>
              <w:rPr>
                <w:rFonts w:hint="eastAsia" w:ascii="仿宋" w:hAnsi="仿宋" w:eastAsia="仿宋" w:cs="宋体"/>
                <w:kern w:val="0"/>
                <w:szCs w:val="21"/>
              </w:rPr>
              <w:br w:type="textWrapping"/>
            </w:r>
            <w:r>
              <w:rPr>
                <w:rFonts w:hint="eastAsia" w:ascii="仿宋" w:hAnsi="仿宋" w:eastAsia="仿宋" w:cs="宋体"/>
                <w:kern w:val="0"/>
                <w:szCs w:val="21"/>
              </w:rPr>
              <w:t>【必选】生均教学科研仪器设备值≥5000元/生（要求见备注7）</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财务处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国资处、人事处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1.3.4 学校各职能部门服务本科教育教学工作情况，本科教育教学工作在学校年度考核中的比重情况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组织部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2.培养过程</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2.1培养方案</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2.1.1 培养目标符合学校定位、适应社会经济发展需要、体现学生德智体美劳全面发展情况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2.1.2 培养方案符合国家专业类标准、体现产出导向理念情况</w:t>
            </w:r>
            <w:r>
              <w:rPr>
                <w:rFonts w:hint="eastAsia" w:ascii="仿宋" w:hAnsi="仿宋" w:eastAsia="仿宋" w:cs="宋体"/>
                <w:kern w:val="0"/>
                <w:szCs w:val="21"/>
              </w:rPr>
              <w:br w:type="textWrapping"/>
            </w:r>
            <w:r>
              <w:rPr>
                <w:rFonts w:hint="eastAsia" w:ascii="仿宋" w:hAnsi="仿宋" w:eastAsia="仿宋" w:cs="宋体"/>
                <w:kern w:val="0"/>
                <w:szCs w:val="21"/>
              </w:rPr>
              <w:t>【必选】学生毕业必须修满的公共艺术课程学分数≥2学分</w:t>
            </w:r>
            <w:r>
              <w:rPr>
                <w:rFonts w:hint="eastAsia" w:ascii="仿宋" w:hAnsi="仿宋" w:eastAsia="仿宋" w:cs="宋体"/>
                <w:kern w:val="0"/>
                <w:szCs w:val="21"/>
              </w:rPr>
              <w:br w:type="textWrapping"/>
            </w:r>
            <w:r>
              <w:rPr>
                <w:rFonts w:hint="eastAsia" w:ascii="仿宋" w:hAnsi="仿宋" w:eastAsia="仿宋" w:cs="宋体"/>
                <w:kern w:val="0"/>
                <w:szCs w:val="21"/>
              </w:rPr>
              <w:t>【必选】劳动教育必修课或必修课程中劳动教育模块学时总数≥32学时</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B 2.1.3 培养方案强化理论基础、突出科教融合、注重培养学生创新能力情况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42" w:type="pct"/>
            <w:vMerge w:val="restart"/>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2.培养过程</w:t>
            </w:r>
          </w:p>
        </w:tc>
        <w:tc>
          <w:tcPr>
            <w:tcW w:w="490" w:type="pct"/>
            <w:vMerge w:val="restart"/>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2.2专业建设</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B 2.2.1 专业设置、专业建设与国家重大发展战略及社会对创新型人才需求的契合情况</w:t>
            </w:r>
            <w:r>
              <w:rPr>
                <w:rFonts w:hint="eastAsia" w:ascii="仿宋" w:hAnsi="仿宋" w:eastAsia="仿宋" w:cs="宋体"/>
                <w:kern w:val="0"/>
                <w:szCs w:val="21"/>
              </w:rPr>
              <w:br w:type="textWrapping"/>
            </w:r>
            <w:r>
              <w:rPr>
                <w:rFonts w:hint="eastAsia" w:ascii="仿宋" w:hAnsi="仿宋" w:eastAsia="仿宋" w:cs="宋体"/>
                <w:kern w:val="0"/>
                <w:szCs w:val="21"/>
              </w:rPr>
              <w:t>【必选】通过认证（评估）的专业占专业总数的比例</w:t>
            </w:r>
            <w:r>
              <w:rPr>
                <w:rFonts w:hint="eastAsia" w:ascii="仿宋" w:hAnsi="仿宋" w:eastAsia="仿宋" w:cs="宋体"/>
                <w:kern w:val="0"/>
                <w:szCs w:val="21"/>
              </w:rPr>
              <w:br w:type="textWrapping"/>
            </w:r>
            <w:r>
              <w:rPr>
                <w:rFonts w:hint="eastAsia" w:ascii="仿宋" w:hAnsi="仿宋" w:eastAsia="仿宋" w:cs="宋体"/>
                <w:kern w:val="0"/>
                <w:szCs w:val="21"/>
              </w:rPr>
              <w:t>【可选】近三年新增专业数</w:t>
            </w:r>
            <w:r>
              <w:rPr>
                <w:rFonts w:hint="eastAsia" w:ascii="仿宋" w:hAnsi="仿宋" w:eastAsia="仿宋" w:cs="宋体"/>
                <w:kern w:val="0"/>
                <w:szCs w:val="21"/>
              </w:rPr>
              <w:br w:type="textWrapping"/>
            </w:r>
            <w:r>
              <w:rPr>
                <w:rFonts w:hint="eastAsia" w:ascii="仿宋" w:hAnsi="仿宋" w:eastAsia="仿宋" w:cs="宋体"/>
                <w:kern w:val="0"/>
                <w:szCs w:val="21"/>
              </w:rPr>
              <w:t>【可选】近三年停招专业数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42" w:type="pct"/>
            <w:vMerge w:val="continue"/>
            <w:shd w:val="clear" w:color="auto" w:fill="auto"/>
            <w:vAlign w:val="center"/>
          </w:tcPr>
          <w:p>
            <w:pPr>
              <w:jc w:val="center"/>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000000"/>
                <w:kern w:val="0"/>
                <w:szCs w:val="21"/>
              </w:rPr>
            </w:pPr>
          </w:p>
        </w:tc>
        <w:tc>
          <w:tcPr>
            <w:tcW w:w="490" w:type="pct"/>
            <w:vMerge w:val="continue"/>
            <w:shd w:val="clear" w:color="auto" w:fill="auto"/>
            <w:vAlign w:val="center"/>
          </w:tcPr>
          <w:p>
            <w:pPr>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B 2.2.2 围绕国家和区域经济发展需求，建立自主性、灵活性与规范性、稳定性相统一的专业设置管理体系情况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42" w:type="pct"/>
            <w:vMerge w:val="continue"/>
            <w:shd w:val="clear" w:color="auto" w:fill="auto"/>
            <w:vAlign w:val="center"/>
          </w:tcPr>
          <w:p>
            <w:pPr>
              <w:jc w:val="center"/>
              <w:rPr>
                <w:rFonts w:ascii="仿宋" w:hAnsi="仿宋" w:eastAsia="仿宋" w:cs="宋体"/>
                <w:color w:val="000000"/>
                <w:kern w:val="0"/>
                <w:szCs w:val="21"/>
              </w:rPr>
            </w:pPr>
          </w:p>
        </w:tc>
        <w:tc>
          <w:tcPr>
            <w:tcW w:w="490" w:type="pct"/>
            <w:vMerge w:val="continue"/>
            <w:shd w:val="clear" w:color="auto" w:fill="auto"/>
            <w:vAlign w:val="center"/>
          </w:tcPr>
          <w:p>
            <w:pPr>
              <w:widowControl/>
              <w:jc w:val="center"/>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tcBorders>
              <w:top w:val="single" w:color="auto" w:sz="4" w:space="0"/>
            </w:tcBorders>
            <w:shd w:val="clear" w:color="auto" w:fill="auto"/>
            <w:vAlign w:val="center"/>
          </w:tcPr>
          <w:p>
            <w:pPr>
              <w:widowControl/>
              <w:spacing w:line="264" w:lineRule="auto"/>
              <w:rPr>
                <w:rFonts w:ascii="仿宋" w:hAnsi="仿宋" w:eastAsia="仿宋" w:cs="宋体"/>
                <w:color w:val="000000"/>
                <w:kern w:val="0"/>
                <w:szCs w:val="21"/>
              </w:rPr>
            </w:pPr>
            <w:r>
              <w:rPr>
                <w:rFonts w:hint="eastAsia" w:ascii="仿宋" w:hAnsi="仿宋" w:eastAsia="仿宋" w:cs="宋体"/>
                <w:color w:val="000000"/>
                <w:kern w:val="0"/>
                <w:szCs w:val="21"/>
              </w:rPr>
              <w:t>2.2.3 学校通过主辅修、微专业和双学士学位培养等举措促进复合型人才培养情况</w:t>
            </w:r>
          </w:p>
        </w:tc>
        <w:tc>
          <w:tcPr>
            <w:tcW w:w="679" w:type="pct"/>
            <w:tcBorders>
              <w:top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tcBorders>
              <w:top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442" w:type="pct"/>
            <w:vMerge w:val="continue"/>
            <w:shd w:val="clear" w:color="auto" w:fill="auto"/>
            <w:vAlign w:val="center"/>
          </w:tcPr>
          <w:p>
            <w:pPr>
              <w:jc w:val="center"/>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2.3实践教学</w:t>
            </w:r>
          </w:p>
        </w:tc>
        <w:tc>
          <w:tcPr>
            <w:tcW w:w="2171" w:type="pct"/>
            <w:shd w:val="clear" w:color="auto" w:fill="auto"/>
            <w:vAlign w:val="center"/>
          </w:tcPr>
          <w:p>
            <w:pPr>
              <w:widowControl/>
              <w:spacing w:line="264" w:lineRule="auto"/>
              <w:rPr>
                <w:rFonts w:ascii="仿宋" w:hAnsi="仿宋" w:eastAsia="仿宋" w:cs="宋体"/>
                <w:color w:val="000000"/>
                <w:kern w:val="0"/>
                <w:szCs w:val="21"/>
              </w:rPr>
            </w:pPr>
            <w:r>
              <w:rPr>
                <w:rFonts w:hint="eastAsia" w:ascii="仿宋" w:hAnsi="仿宋" w:eastAsia="仿宋" w:cs="宋体"/>
                <w:color w:val="000000"/>
                <w:kern w:val="0"/>
                <w:szCs w:val="21"/>
              </w:rPr>
              <w:t>2.3.1 强化实践育人、构建实践教学体系、推动实践教学改革情况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【必选】实践教学学分占总学分（学时）比例（人文社科类专业≥15%，理工农医类专业≥25%）</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【必选】国家级、省级实践教学基地（包括实验教学示范中心、虚拟仿真实验中心、临床教学培训示范中心、工程实践基地、农科教合作人才培养基地等）数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42" w:type="pct"/>
            <w:vMerge w:val="continue"/>
            <w:shd w:val="clear" w:color="auto" w:fill="auto"/>
            <w:vAlign w:val="center"/>
          </w:tcPr>
          <w:p>
            <w:pPr>
              <w:jc w:val="center"/>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264" w:lineRule="auto"/>
              <w:rPr>
                <w:rFonts w:ascii="仿宋" w:hAnsi="仿宋" w:eastAsia="仿宋" w:cs="宋体"/>
                <w:kern w:val="0"/>
                <w:szCs w:val="21"/>
              </w:rPr>
            </w:pPr>
            <w:r>
              <w:rPr>
                <w:rFonts w:hint="eastAsia" w:ascii="仿宋" w:hAnsi="仿宋" w:eastAsia="仿宋" w:cs="宋体"/>
                <w:kern w:val="0"/>
                <w:szCs w:val="21"/>
              </w:rPr>
              <w:t>B 2.3.2 学校与科研院所、企业共建科研实践、实习实训基地情况</w:t>
            </w:r>
            <w:r>
              <w:rPr>
                <w:rFonts w:hint="eastAsia" w:ascii="仿宋" w:hAnsi="仿宋" w:eastAsia="仿宋" w:cs="宋体"/>
                <w:kern w:val="0"/>
                <w:szCs w:val="21"/>
              </w:rPr>
              <w:br w:type="textWrapping"/>
            </w:r>
            <w:r>
              <w:rPr>
                <w:rFonts w:hint="eastAsia" w:ascii="仿宋" w:hAnsi="仿宋" w:eastAsia="仿宋" w:cs="宋体"/>
                <w:kern w:val="0"/>
                <w:szCs w:val="21"/>
              </w:rPr>
              <w:t>【可选】与行业企业共建的实验教学中心数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42" w:type="pct"/>
            <w:vMerge w:val="continue"/>
            <w:shd w:val="clear" w:color="auto" w:fill="auto"/>
            <w:vAlign w:val="center"/>
          </w:tcPr>
          <w:p>
            <w:pPr>
              <w:jc w:val="center"/>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264" w:lineRule="auto"/>
              <w:rPr>
                <w:rFonts w:ascii="仿宋" w:hAnsi="仿宋" w:eastAsia="仿宋" w:cs="宋体"/>
                <w:kern w:val="0"/>
                <w:szCs w:val="21"/>
              </w:rPr>
            </w:pPr>
            <w:r>
              <w:rPr>
                <w:rFonts w:hint="eastAsia" w:ascii="仿宋" w:hAnsi="仿宋" w:eastAsia="仿宋" w:cs="宋体"/>
                <w:kern w:val="0"/>
                <w:szCs w:val="21"/>
              </w:rPr>
              <w:t>B 2.3.3毕业论文（设计）选题来自教师专业实践、科研课题情况及完成质量</w:t>
            </w:r>
            <w:r>
              <w:rPr>
                <w:rFonts w:hint="eastAsia" w:ascii="仿宋" w:hAnsi="仿宋" w:eastAsia="仿宋" w:cs="宋体"/>
                <w:kern w:val="0"/>
                <w:szCs w:val="21"/>
              </w:rPr>
              <w:br w:type="textWrapping"/>
            </w:r>
            <w:r>
              <w:rPr>
                <w:rFonts w:hint="eastAsia" w:ascii="仿宋" w:hAnsi="仿宋" w:eastAsia="仿宋" w:cs="宋体"/>
                <w:kern w:val="0"/>
                <w:szCs w:val="21"/>
              </w:rPr>
              <w:t>【必选】以实验、实习、工程实践和社会调查等实践性工作为基础的毕业论文（设计）比例≥50%</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42" w:type="pct"/>
            <w:vMerge w:val="restart"/>
            <w:shd w:val="clear" w:color="auto" w:fill="auto"/>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2.培养过程</w:t>
            </w:r>
          </w:p>
        </w:tc>
        <w:tc>
          <w:tcPr>
            <w:tcW w:w="490" w:type="pct"/>
            <w:vMerge w:val="restart"/>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2.4课堂教学</w:t>
            </w:r>
          </w:p>
        </w:tc>
        <w:tc>
          <w:tcPr>
            <w:tcW w:w="2171" w:type="pct"/>
            <w:shd w:val="clear" w:color="auto" w:fill="auto"/>
            <w:vAlign w:val="center"/>
          </w:tcPr>
          <w:p>
            <w:pPr>
              <w:widowControl/>
              <w:spacing w:line="264" w:lineRule="auto"/>
              <w:rPr>
                <w:rFonts w:ascii="仿宋" w:hAnsi="仿宋" w:eastAsia="仿宋" w:cs="宋体"/>
                <w:kern w:val="0"/>
                <w:szCs w:val="21"/>
              </w:rPr>
            </w:pPr>
            <w:r>
              <w:rPr>
                <w:rFonts w:hint="eastAsia" w:ascii="仿宋" w:hAnsi="仿宋" w:eastAsia="仿宋" w:cs="宋体"/>
                <w:kern w:val="0"/>
                <w:szCs w:val="21"/>
              </w:rPr>
              <w:t>2.4.1 实施“以学为中心、以教为主导”的课堂教学，开展以学生学习成果为导向的教学评价情况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jc w:val="left"/>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264" w:lineRule="auto"/>
              <w:rPr>
                <w:rFonts w:ascii="仿宋" w:hAnsi="仿宋" w:eastAsia="仿宋" w:cs="宋体"/>
                <w:color w:val="000000"/>
                <w:kern w:val="0"/>
                <w:szCs w:val="21"/>
              </w:rPr>
            </w:pPr>
            <w:r>
              <w:rPr>
                <w:rFonts w:hint="eastAsia" w:ascii="仿宋" w:hAnsi="仿宋" w:eastAsia="仿宋" w:cs="宋体"/>
                <w:color w:val="000000"/>
                <w:kern w:val="0"/>
                <w:szCs w:val="21"/>
              </w:rPr>
              <w:t>2.4.2 推进信息技术与教学过程融合、加强信息化教学环境与资源建设情况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442" w:type="pct"/>
            <w:vMerge w:val="continue"/>
            <w:shd w:val="clear" w:color="auto" w:fill="auto"/>
            <w:vAlign w:val="center"/>
          </w:tcPr>
          <w:p>
            <w:pPr>
              <w:jc w:val="left"/>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264" w:lineRule="auto"/>
              <w:rPr>
                <w:rFonts w:ascii="仿宋" w:hAnsi="仿宋" w:eastAsia="仿宋" w:cs="宋体"/>
                <w:color w:val="000000"/>
                <w:kern w:val="0"/>
                <w:szCs w:val="21"/>
              </w:rPr>
            </w:pPr>
            <w:r>
              <w:rPr>
                <w:rFonts w:hint="eastAsia" w:ascii="仿宋" w:hAnsi="仿宋" w:eastAsia="仿宋" w:cs="宋体"/>
                <w:color w:val="000000"/>
                <w:kern w:val="0"/>
                <w:szCs w:val="21"/>
              </w:rPr>
              <w:t>2.4.3 建立健全教材管理机构和工作制度情况，依照教材审核选用标准和程序选用教材情况；推进马工程重点教材统一使用情况；对教材选用工作出现负面问题的处理情况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【必选】使用马工程重点教材课程数量与学校应使用马工程重点教材课程数量的比例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【可选】近五年公开出版的教材数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center"/>
              <w:rPr>
                <w:rFonts w:ascii="仿宋" w:hAnsi="仿宋" w:eastAsia="仿宋" w:cs="宋体"/>
                <w:kern w:val="0"/>
                <w:szCs w:val="21"/>
              </w:rPr>
            </w:pPr>
          </w:p>
        </w:tc>
        <w:tc>
          <w:tcPr>
            <w:tcW w:w="490" w:type="pct"/>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K 2.5卓越培养</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2.5.1 科教协同拔尖人才培养模式改革及其实践效果</w:t>
            </w:r>
            <w:r>
              <w:rPr>
                <w:rFonts w:hint="eastAsia" w:ascii="仿宋" w:hAnsi="仿宋" w:eastAsia="仿宋" w:cs="宋体"/>
                <w:kern w:val="0"/>
                <w:szCs w:val="21"/>
              </w:rPr>
              <w:br w:type="textWrapping"/>
            </w:r>
            <w:r>
              <w:rPr>
                <w:rFonts w:hint="eastAsia" w:ascii="仿宋" w:hAnsi="仿宋" w:eastAsia="仿宋" w:cs="宋体"/>
                <w:kern w:val="0"/>
                <w:szCs w:val="21"/>
              </w:rPr>
              <w:t>【可选】基础学科拔尖学生培养计划学生数</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2.5.2 加强课程体系整体设计，优化公共课、专业基础课和专业课比例结构，提高课程建设规划性、系统性情况</w:t>
            </w:r>
            <w:r>
              <w:rPr>
                <w:rFonts w:hint="eastAsia" w:ascii="仿宋" w:hAnsi="仿宋" w:eastAsia="仿宋" w:cs="宋体"/>
                <w:kern w:val="0"/>
                <w:szCs w:val="21"/>
              </w:rPr>
              <w:br w:type="page"/>
            </w:r>
            <w:r>
              <w:rPr>
                <w:rFonts w:ascii="仿宋" w:hAnsi="仿宋" w:eastAsia="仿宋" w:cs="宋体"/>
                <w:kern w:val="0"/>
                <w:szCs w:val="21"/>
              </w:rPr>
              <w:br w:type="textWrapping"/>
            </w:r>
            <w:r>
              <w:rPr>
                <w:rFonts w:hint="eastAsia" w:ascii="仿宋" w:hAnsi="仿宋" w:eastAsia="仿宋" w:cs="宋体"/>
                <w:kern w:val="0"/>
                <w:szCs w:val="21"/>
              </w:rPr>
              <w:t>【必选】本科生生均课程门数</w:t>
            </w:r>
            <w:r>
              <w:rPr>
                <w:rFonts w:hint="eastAsia" w:ascii="仿宋" w:hAnsi="仿宋" w:eastAsia="仿宋" w:cs="宋体"/>
                <w:kern w:val="0"/>
                <w:szCs w:val="21"/>
              </w:rPr>
              <w:br w:type="page"/>
            </w:r>
            <w:r>
              <w:rPr>
                <w:rFonts w:ascii="仿宋" w:hAnsi="仿宋" w:eastAsia="仿宋" w:cs="宋体"/>
                <w:kern w:val="0"/>
                <w:szCs w:val="21"/>
              </w:rPr>
              <w:br w:type="textWrapping"/>
            </w:r>
            <w:r>
              <w:rPr>
                <w:rFonts w:hint="eastAsia" w:ascii="仿宋" w:hAnsi="仿宋" w:eastAsia="仿宋" w:cs="宋体"/>
                <w:kern w:val="0"/>
                <w:szCs w:val="21"/>
              </w:rPr>
              <w:t>【可选】与行业企业共建、共同讲授的课程数</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2.5.3 新工科、新农科、新医科、新文科建设以及围绕“培育高水平教学成果”开展教研教改项目建设的举措及实施成效</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2.5.4 一流专业“双万计划”建设举措及成效</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2.5.5 一流课程“双万计划”建设举措及成效</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2.5.6 优秀教材建设举措及成效</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kern w:val="0"/>
                <w:szCs w:val="21"/>
              </w:rPr>
            </w:pPr>
          </w:p>
        </w:tc>
        <w:tc>
          <w:tcPr>
            <w:tcW w:w="490" w:type="pct"/>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2.6创新创业教育</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2.6.1 创新创业教育工作体系与创新创业教育平台建设情况</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kern w:val="0"/>
                <w:szCs w:val="21"/>
              </w:rPr>
            </w:pPr>
          </w:p>
        </w:tc>
        <w:tc>
          <w:tcPr>
            <w:tcW w:w="490" w:type="pct"/>
            <w:vMerge w:val="continue"/>
            <w:shd w:val="clear" w:color="auto" w:fill="auto"/>
            <w:vAlign w:val="center"/>
          </w:tcPr>
          <w:p>
            <w:pPr>
              <w:widowControl/>
              <w:jc w:val="left"/>
              <w:rPr>
                <w:rFonts w:ascii="仿宋" w:hAnsi="仿宋" w:eastAsia="仿宋" w:cs="宋体"/>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2.6.2 将创新创业教育贯穿于人才培养全过程、融入专业教育的举措与成效</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42" w:type="pct"/>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2.培养过程</w:t>
            </w:r>
          </w:p>
        </w:tc>
        <w:tc>
          <w:tcPr>
            <w:tcW w:w="490"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color w:val="000000"/>
                <w:kern w:val="0"/>
                <w:szCs w:val="21"/>
              </w:rPr>
              <w:t>教务处</w:t>
            </w:r>
          </w:p>
        </w:tc>
        <w:tc>
          <w:tcPr>
            <w:tcW w:w="490"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2.6创新创业教育</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2.6.3 学生参与创新创业教育积极性及创新创业教育成果</w:t>
            </w:r>
            <w:r>
              <w:rPr>
                <w:rFonts w:hint="eastAsia" w:ascii="仿宋" w:hAnsi="仿宋" w:eastAsia="仿宋" w:cs="宋体"/>
                <w:kern w:val="0"/>
                <w:szCs w:val="21"/>
              </w:rPr>
              <w:br w:type="textWrapping"/>
            </w:r>
            <w:r>
              <w:rPr>
                <w:rFonts w:hint="eastAsia" w:ascii="仿宋" w:hAnsi="仿宋" w:eastAsia="仿宋" w:cs="宋体"/>
                <w:kern w:val="0"/>
                <w:szCs w:val="21"/>
              </w:rPr>
              <w:t>【必选】本科生参加各级各类创新创业实践活动人数及比例</w:t>
            </w:r>
            <w:r>
              <w:rPr>
                <w:rFonts w:hint="eastAsia" w:ascii="仿宋" w:hAnsi="仿宋" w:eastAsia="仿宋" w:cs="宋体"/>
                <w:kern w:val="0"/>
                <w:szCs w:val="21"/>
              </w:rPr>
              <w:br w:type="textWrapping"/>
            </w:r>
            <w:r>
              <w:rPr>
                <w:rFonts w:hint="eastAsia" w:ascii="仿宋" w:hAnsi="仿宋" w:eastAsia="仿宋" w:cs="宋体"/>
                <w:kern w:val="0"/>
                <w:szCs w:val="21"/>
              </w:rPr>
              <w:t>【必选】“互联网+”大学生创新创业大赛获奖数</w:t>
            </w:r>
            <w:r>
              <w:rPr>
                <w:rFonts w:hint="eastAsia" w:ascii="仿宋" w:hAnsi="仿宋" w:eastAsia="仿宋" w:cs="宋体"/>
                <w:kern w:val="0"/>
                <w:szCs w:val="21"/>
              </w:rPr>
              <w:br w:type="textWrapping"/>
            </w:r>
            <w:r>
              <w:rPr>
                <w:rFonts w:hint="eastAsia" w:ascii="仿宋" w:hAnsi="仿宋" w:eastAsia="仿宋" w:cs="宋体"/>
                <w:kern w:val="0"/>
                <w:szCs w:val="21"/>
              </w:rPr>
              <w:t>【可选】省级以上学科竞赛获奖学生人次数占学生总数的比例</w:t>
            </w:r>
          </w:p>
        </w:tc>
        <w:tc>
          <w:tcPr>
            <w:tcW w:w="67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教务处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学工处、校团委、各二级学院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3.教学资源与利用</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3.2资源建设</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B 3.2.1 优质教学资源建设及其共享情况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科技处、信息中心、各二级学院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B 3.2.2 面向国家、行业领域需求的高水平教材建设举措与成效</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3.2.3 适应“互联网+”课程教学需要的智慧教室、智能实验室等教学设施和条件建设及使用效果</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信息中心、各二级学院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3.2.4 学科资源、科研成果转化为教学资源情况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科技处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发展规划与学科建设中心、各二级学院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4.教师队伍</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4.1师德师风</w:t>
            </w: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4.1.1 保障把教师思想政治建设放在首位、把师德师风作为评价教师的第一标准，强化师德教育、加强师德宣传、严格考核管理、加强制度建设，落实师德考核贯穿于教育教学全过程等方面的情况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教师工作部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人事处、教评中心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4.1.2 教师在争做“四有”好老师、四个“引路人”，自觉遵守《新时代高校教师职业行为十项准则》等方面的情况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教师工作部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人事处、教评中心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4.2教学能力</w:t>
            </w:r>
          </w:p>
        </w:tc>
        <w:tc>
          <w:tcPr>
            <w:tcW w:w="2171" w:type="pct"/>
            <w:shd w:val="clear" w:color="auto" w:fill="auto"/>
            <w:vAlign w:val="center"/>
          </w:tcPr>
          <w:p>
            <w:pPr>
              <w:widowControl/>
              <w:spacing w:line="300" w:lineRule="exact"/>
              <w:rPr>
                <w:rFonts w:ascii="仿宋" w:hAnsi="仿宋" w:eastAsia="仿宋" w:cs="宋体"/>
                <w:kern w:val="0"/>
                <w:szCs w:val="21"/>
              </w:rPr>
            </w:pPr>
            <w:r>
              <w:rPr>
                <w:rFonts w:hint="eastAsia" w:ascii="仿宋" w:hAnsi="仿宋" w:eastAsia="仿宋" w:cs="宋体"/>
                <w:kern w:val="0"/>
                <w:szCs w:val="21"/>
              </w:rPr>
              <w:t>B 4.2.1 专任教师的专业水平、教学能力、科研水平和能力</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教评中心、科技处、各二级学院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4.2.2 提升教师教书育人能力和水平的措施</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4.3教学投入</w:t>
            </w: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4.3.1 教师投入教学、教授全员为本科生授课的激励与约束机制建立情况及实施效果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【必选】主讲本科课程教授占教授总数的比例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【必选】教授主讲本科课程人均学时数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4.3.2 教师特别是教授和副教授开展教学研究、参与教学改革与建设情况及成效</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【必选】教授、副教授担任专业负责人的专业占专业总数的比例</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42" w:type="pct"/>
            <w:vMerge w:val="restart"/>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4.教师队伍</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4.4教师发展</w:t>
            </w: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4.4.1 重视教师培训与职业发展，把习近平总书记关于教育的重要论述作为核心培训课程，把《习近平总书记教育重要论述讲义》作为核心培训教材，加强思政与党务工作队伍建设的举措与成效</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教师工作部</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教评中心、人事处、各二级学院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4.4.2 加强教师教学发展中心、基层教学组织和青年教师队伍建设举措与成效</w:t>
            </w:r>
          </w:p>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br w:type="page"/>
            </w:r>
            <w:r>
              <w:rPr>
                <w:rFonts w:hint="eastAsia" w:ascii="仿宋" w:hAnsi="仿宋" w:eastAsia="仿宋" w:cs="宋体"/>
                <w:color w:val="000000"/>
                <w:kern w:val="0"/>
                <w:szCs w:val="21"/>
              </w:rPr>
              <w:t>【必选】设有基层教学组织的专业占专业总数的比例</w:t>
            </w:r>
            <w:r>
              <w:rPr>
                <w:rFonts w:hint="eastAsia" w:ascii="仿宋" w:hAnsi="仿宋" w:eastAsia="仿宋" w:cs="宋体"/>
                <w:color w:val="000000"/>
                <w:kern w:val="0"/>
                <w:szCs w:val="21"/>
              </w:rPr>
              <w:br w:type="page"/>
            </w:r>
          </w:p>
          <w:p>
            <w:pPr>
              <w:widowControl/>
              <w:spacing w:line="300" w:lineRule="exact"/>
              <w:rPr>
                <w:rFonts w:ascii="仿宋" w:hAnsi="仿宋" w:eastAsia="仿宋" w:cs="宋体"/>
                <w:color w:val="000000"/>
                <w:kern w:val="0"/>
                <w:szCs w:val="21"/>
              </w:rPr>
            </w:pPr>
            <w:r>
              <w:rPr>
                <w:rFonts w:hint="eastAsia" w:ascii="仿宋" w:hAnsi="仿宋" w:eastAsia="仿宋" w:cs="宋体"/>
                <w:color w:val="000000"/>
                <w:kern w:val="0"/>
                <w:szCs w:val="21"/>
              </w:rPr>
              <w:t>【可选】教师发展中心培训本校教师的比例</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kern w:val="0"/>
                <w:szCs w:val="21"/>
              </w:rPr>
            </w:pPr>
            <w:r>
              <w:rPr>
                <w:rFonts w:hint="eastAsia" w:ascii="仿宋" w:hAnsi="仿宋" w:eastAsia="仿宋" w:cs="宋体"/>
                <w:kern w:val="0"/>
                <w:szCs w:val="21"/>
              </w:rPr>
              <w:t>B 4.4.3 提升教师教学能力、实践能力、科研能力、信息技术应用能力的政策措施</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教评中心、科技处、教务处、各二级学院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kern w:val="0"/>
                <w:szCs w:val="21"/>
              </w:rPr>
            </w:pPr>
            <w:r>
              <w:rPr>
                <w:rFonts w:hint="eastAsia" w:ascii="仿宋" w:hAnsi="仿宋" w:eastAsia="仿宋" w:cs="宋体"/>
                <w:kern w:val="0"/>
                <w:szCs w:val="21"/>
              </w:rPr>
              <w:t>B 4.4.4 教师队伍分类管理与建设情况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spacing w:line="300" w:lineRule="exact"/>
              <w:rPr>
                <w:rFonts w:ascii="仿宋" w:hAnsi="仿宋" w:eastAsia="仿宋" w:cs="宋体"/>
                <w:kern w:val="0"/>
                <w:szCs w:val="21"/>
              </w:rPr>
            </w:pPr>
            <w:r>
              <w:rPr>
                <w:rFonts w:hint="eastAsia" w:ascii="仿宋" w:hAnsi="仿宋" w:eastAsia="仿宋" w:cs="宋体"/>
                <w:kern w:val="0"/>
                <w:szCs w:val="21"/>
              </w:rPr>
              <w:t>K 4.4.5 教师赴国（境）外交流、访学、参加国际会议、合作研究等情况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国际交流与合作处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5.学生发展</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5.1理想信念</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5.1.1 学生理想信念和品德修养</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校团委、各二级学院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5.1.2 加强学风建设，教育引导学生爱国、励志、求真、力行情况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校团委、各二级学院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5.2学业成绩及综合素质</w:t>
            </w:r>
          </w:p>
        </w:tc>
        <w:tc>
          <w:tcPr>
            <w:tcW w:w="2171" w:type="pct"/>
            <w:shd w:val="clear" w:color="auto" w:fill="auto"/>
            <w:vAlign w:val="center"/>
          </w:tcPr>
          <w:p>
            <w:pPr>
              <w:widowControl/>
              <w:rPr>
                <w:rFonts w:ascii="仿宋" w:hAnsi="仿宋" w:eastAsia="仿宋" w:cs="宋体"/>
                <w:color w:val="FF0000"/>
                <w:kern w:val="0"/>
                <w:szCs w:val="21"/>
              </w:rPr>
            </w:pPr>
            <w:r>
              <w:rPr>
                <w:rFonts w:hint="eastAsia" w:ascii="仿宋" w:hAnsi="仿宋" w:eastAsia="仿宋" w:cs="宋体"/>
                <w:kern w:val="0"/>
                <w:szCs w:val="21"/>
              </w:rPr>
              <w:t>B 5.2.1 学生基础理论、知识面和创新能力</w:t>
            </w:r>
            <w:r>
              <w:rPr>
                <w:rFonts w:hint="eastAsia" w:ascii="仿宋" w:hAnsi="仿宋" w:eastAsia="仿宋" w:cs="宋体"/>
                <w:kern w:val="0"/>
                <w:szCs w:val="21"/>
              </w:rPr>
              <w:br w:type="textWrapping"/>
            </w:r>
            <w:r>
              <w:rPr>
                <w:rFonts w:hint="eastAsia" w:ascii="仿宋" w:hAnsi="仿宋" w:eastAsia="仿宋" w:cs="宋体"/>
                <w:kern w:val="0"/>
                <w:szCs w:val="21"/>
              </w:rPr>
              <w:t>【可选】本科生以第一作者/通讯作者在公开发行期刊发表的论文数和本科生获批国家发明专利数</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科技处、教务处、各二级学院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5.2.2 开展通识教育、体育、美育、劳动教育的措施与成效</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【必选】体质测试达标率</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5.2.3 社团活动、校园文化、社会实践、志愿服务等活动开展情况及育人效果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【可选】省级以上艺术展演、体育竞赛参赛获奖学生人次数占学生总数的比例</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校团委</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42" w:type="pct"/>
            <w:vMerge w:val="restart"/>
            <w:shd w:val="clear" w:color="auto" w:fill="auto"/>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5.学生发展</w:t>
            </w:r>
          </w:p>
        </w:tc>
        <w:tc>
          <w:tcPr>
            <w:tcW w:w="490" w:type="pct"/>
            <w:vMerge w:val="restart"/>
            <w:shd w:val="clear" w:color="auto" w:fill="auto"/>
            <w:vAlign w:val="center"/>
          </w:tcPr>
          <w:p>
            <w:pPr>
              <w:jc w:val="center"/>
              <w:rPr>
                <w:rFonts w:ascii="仿宋" w:hAnsi="仿宋" w:eastAsia="仿宋" w:cs="宋体"/>
                <w:color w:val="FF0000"/>
                <w:kern w:val="0"/>
                <w:szCs w:val="21"/>
              </w:rPr>
            </w:pPr>
            <w:r>
              <w:rPr>
                <w:rFonts w:hint="eastAsia" w:ascii="仿宋" w:hAnsi="仿宋" w:eastAsia="仿宋" w:cs="宋体"/>
                <w:color w:val="000000"/>
                <w:kern w:val="0"/>
                <w:szCs w:val="21"/>
              </w:rPr>
              <w:t>学工处</w:t>
            </w:r>
          </w:p>
        </w:tc>
        <w:tc>
          <w:tcPr>
            <w:tcW w:w="490" w:type="pct"/>
            <w:vMerge w:val="restart"/>
            <w:shd w:val="clear" w:color="auto" w:fill="auto"/>
            <w:vAlign w:val="center"/>
          </w:tcPr>
          <w:p>
            <w:pPr>
              <w:widowControl/>
              <w:jc w:val="center"/>
              <w:rPr>
                <w:rFonts w:ascii="仿宋" w:hAnsi="仿宋" w:eastAsia="仿宋" w:cs="宋体"/>
                <w:color w:val="FF0000"/>
                <w:kern w:val="0"/>
                <w:szCs w:val="21"/>
              </w:rPr>
            </w:pPr>
            <w:r>
              <w:rPr>
                <w:rFonts w:hint="eastAsia" w:ascii="仿宋" w:hAnsi="仿宋" w:eastAsia="仿宋" w:cs="宋体"/>
                <w:kern w:val="0"/>
                <w:szCs w:val="21"/>
              </w:rPr>
              <w:t>K 5.3国际视野</w:t>
            </w: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5.3.1 与国（境）外大学合作办学、合作育人以及与本科教育相关的国际交流活动和来华留学生教育开展情况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国际交流与合作处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2" w:type="pct"/>
            <w:vMerge w:val="continue"/>
            <w:shd w:val="clear" w:color="auto" w:fill="auto"/>
            <w:vAlign w:val="center"/>
          </w:tcPr>
          <w:p>
            <w:pPr>
              <w:jc w:val="left"/>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FF0000"/>
                <w:kern w:val="0"/>
                <w:szCs w:val="21"/>
              </w:rPr>
            </w:pPr>
          </w:p>
        </w:tc>
        <w:tc>
          <w:tcPr>
            <w:tcW w:w="490" w:type="pct"/>
            <w:vMerge w:val="continue"/>
            <w:shd w:val="clear" w:color="auto" w:fill="auto"/>
            <w:vAlign w:val="center"/>
          </w:tcPr>
          <w:p>
            <w:pPr>
              <w:widowControl/>
              <w:jc w:val="left"/>
              <w:rPr>
                <w:rFonts w:ascii="仿宋" w:hAnsi="仿宋" w:eastAsia="仿宋" w:cs="宋体"/>
                <w:color w:val="FF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5.3.2 国际先进教育理念、优质教育资源的吸收内化、培育和输出共享情况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国际交流与合作处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442" w:type="pct"/>
            <w:vMerge w:val="continue"/>
            <w:shd w:val="clear" w:color="auto" w:fill="auto"/>
            <w:vAlign w:val="center"/>
          </w:tcPr>
          <w:p>
            <w:pPr>
              <w:jc w:val="left"/>
              <w:rPr>
                <w:rFonts w:ascii="仿宋" w:hAnsi="仿宋" w:eastAsia="仿宋" w:cs="宋体"/>
                <w:color w:val="000000"/>
                <w:kern w:val="0"/>
                <w:szCs w:val="21"/>
              </w:rPr>
            </w:pPr>
          </w:p>
        </w:tc>
        <w:tc>
          <w:tcPr>
            <w:tcW w:w="490" w:type="pct"/>
            <w:vMerge w:val="continue"/>
            <w:shd w:val="clear" w:color="auto" w:fill="auto"/>
          </w:tcPr>
          <w:p>
            <w:pPr>
              <w:jc w:val="center"/>
              <w:rPr>
                <w:rFonts w:ascii="仿宋" w:hAnsi="仿宋" w:eastAsia="仿宋" w:cs="宋体"/>
                <w:color w:val="FF0000"/>
                <w:kern w:val="0"/>
                <w:szCs w:val="21"/>
              </w:rPr>
            </w:pPr>
          </w:p>
        </w:tc>
        <w:tc>
          <w:tcPr>
            <w:tcW w:w="490" w:type="pct"/>
            <w:vMerge w:val="continue"/>
            <w:shd w:val="clear" w:color="auto" w:fill="auto"/>
            <w:vAlign w:val="center"/>
          </w:tcPr>
          <w:p>
            <w:pPr>
              <w:widowControl/>
              <w:jc w:val="left"/>
              <w:rPr>
                <w:rFonts w:ascii="仿宋" w:hAnsi="仿宋" w:eastAsia="仿宋" w:cs="宋体"/>
                <w:color w:val="FF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5.3.3 学生赴国（境）外交流、访学、实习、竞赛、参加国际会议、合作研究等情况</w:t>
            </w:r>
            <w:r>
              <w:rPr>
                <w:rFonts w:hint="eastAsia" w:ascii="仿宋" w:hAnsi="仿宋" w:eastAsia="仿宋" w:cs="宋体"/>
                <w:kern w:val="0"/>
                <w:szCs w:val="21"/>
              </w:rPr>
              <w:br w:type="textWrapping"/>
            </w:r>
            <w:r>
              <w:rPr>
                <w:rFonts w:hint="eastAsia" w:ascii="仿宋" w:hAnsi="仿宋" w:eastAsia="仿宋" w:cs="宋体"/>
                <w:kern w:val="0"/>
                <w:szCs w:val="21"/>
              </w:rPr>
              <w:t>【可选】在学期间赴国（境）外交流、访学、实习的学生数占在校生数的比例</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国际交流与合作处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5.4支持服务</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5.4.1 领导干部和教师参与学生工作的情况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组织部、各二级学院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5.4.2 学校开展学生指导服务工作（学业、职业生涯规划、就业、家庭经济困难学生资助、心理健康咨询等）情况，学业导师、心理辅导教师、校医等配备及师生交流活动专门场所建设情况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【必选】专职辅导员岗位与在校生比例≥1:200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【必选】专职从事心理健康教育教师与在校生比例≥1:4000且至少2名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【必选】专职就业指导教师和专职就业工作人员与应届毕业生比例≥1:500</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招就处、后勤基建处、各二级学院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5.4.3 与学分制改革和弹性学习相适应的管理制度、辅修专业制度、双学士学位制度建设情况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K 5.4.4 探索学生成长增值评价，重视学生学习体验、自我发展能力和职业发展能力的具体措施及实施成效</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学工处、招就处、各二级学院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6.质量保障</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6.1质量管理</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6.1.1 学校质量标准、质量管理制度、质量保障机构及队伍建设情况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6.1.2 加强考试管理、严肃考试纪律、完善过程性考核与结果性考核有机结合的学业考评制度、严把考试和毕业出口关的情况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6.2质量改进</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6.2.1 学校内部质量评估制度的建立及接受外部评估（含院校评估、专业认证等）情况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6.2.2 质量持续改进机制建设与改进效果</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教务处、招就处、各二级学院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6.3质量文化</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6.3.1 自觉、自省、自律、自查、自纠的质量文化建设情况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6.3.2 质量信息公开制度及年度质量报告</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7.教学成效</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7.1达成度</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7.1.1 学校各专业人才培养目标的达成情况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7.1.2 毕业生质量持续跟踪评价机制建立情况及跟踪评价结果</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7.2适应度</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7.2.1 学校本科生源状况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FF0000"/>
                <w:kern w:val="0"/>
                <w:szCs w:val="21"/>
              </w:rPr>
            </w:pPr>
            <w:r>
              <w:rPr>
                <w:rFonts w:hint="eastAsia" w:ascii="仿宋" w:hAnsi="仿宋" w:eastAsia="仿宋" w:cs="宋体"/>
                <w:kern w:val="0"/>
                <w:szCs w:val="21"/>
              </w:rPr>
              <w:t>B 7.2.2 毕业生面向国家和经济社会发展需要就业情况、就业质量和职业发展情况</w:t>
            </w:r>
            <w:r>
              <w:rPr>
                <w:rFonts w:hint="eastAsia" w:ascii="仿宋" w:hAnsi="仿宋" w:eastAsia="仿宋" w:cs="宋体"/>
                <w:kern w:val="0"/>
                <w:szCs w:val="21"/>
              </w:rPr>
              <w:br w:type="textWrapping"/>
            </w:r>
            <w:r>
              <w:rPr>
                <w:rFonts w:hint="eastAsia" w:ascii="仿宋" w:hAnsi="仿宋" w:eastAsia="仿宋" w:cs="宋体"/>
                <w:kern w:val="0"/>
                <w:szCs w:val="21"/>
              </w:rPr>
              <w:t>【可选】升学率（含国内与国外）</w:t>
            </w:r>
            <w:r>
              <w:rPr>
                <w:rFonts w:hint="eastAsia" w:ascii="仿宋" w:hAnsi="仿宋" w:eastAsia="仿宋" w:cs="宋体"/>
                <w:kern w:val="0"/>
                <w:szCs w:val="21"/>
              </w:rPr>
              <w:br w:type="textWrapping"/>
            </w:r>
            <w:r>
              <w:rPr>
                <w:rFonts w:hint="eastAsia" w:ascii="仿宋" w:hAnsi="仿宋" w:eastAsia="仿宋" w:cs="宋体"/>
                <w:kern w:val="0"/>
                <w:szCs w:val="21"/>
              </w:rPr>
              <w:t>【可选】应届本科生初次就业率及结构</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7.3保障度</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7.3.1 教学经费以及教室、实验室、图书馆、体育场馆、艺术场馆等资源条件满足教学需要情况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【必选】生均本科实验经费（元）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【必选】生均本科实习经费（元）</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财务处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国资处、后勤基建处、科技处、图书馆、体育与健康学院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7.3.2 教师的数量、结构、教学水平、产学研用能力、国际视野、教学投入等满足人才培养需要情况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【必选】生师比≤16:1（要求见备注8）</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【必选】具有硕士学位、博士学位教师占专任教师比例≥50%</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教评中心、教务处、科技处、国际交流与合作处、各二级学院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 w:type="pct"/>
            <w:vMerge w:val="restart"/>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7.教学成效</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7.4有效度</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7.4.1 学校人才培养各环节有序运行情况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7.4.2 学校人才培养工作持续改进、持续提升情况</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7.4.3 近五年专业领域的优秀毕业生十个典型案例及培养经验</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center"/>
              <w:rPr>
                <w:rFonts w:ascii="仿宋" w:hAnsi="仿宋" w:eastAsia="仿宋" w:cs="宋体"/>
                <w:color w:val="000000"/>
                <w:kern w:val="0"/>
                <w:szCs w:val="21"/>
              </w:rPr>
            </w:pPr>
          </w:p>
        </w:tc>
        <w:tc>
          <w:tcPr>
            <w:tcW w:w="490" w:type="pct"/>
            <w:vMerge w:val="restar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7.5满意度</w:t>
            </w: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7.5.1 学生（毕业生与在校生）对学习与成长的满意度</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教评中心</w:t>
            </w:r>
          </w:p>
        </w:tc>
        <w:tc>
          <w:tcPr>
            <w:tcW w:w="728"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招就处、教务处、各二级学院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7.5.2 教师对学校教育教学工作的满意度</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人事处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2" w:type="pct"/>
            <w:vMerge w:val="continue"/>
            <w:shd w:val="clear" w:color="auto" w:fill="auto"/>
            <w:vAlign w:val="center"/>
          </w:tcPr>
          <w:p>
            <w:pPr>
              <w:widowControl/>
              <w:jc w:val="left"/>
              <w:rPr>
                <w:rFonts w:ascii="仿宋" w:hAnsi="仿宋" w:eastAsia="仿宋" w:cs="宋体"/>
                <w:color w:val="000000"/>
                <w:kern w:val="0"/>
                <w:szCs w:val="21"/>
              </w:rPr>
            </w:pPr>
          </w:p>
        </w:tc>
        <w:tc>
          <w:tcPr>
            <w:tcW w:w="490" w:type="pct"/>
            <w:vMerge w:val="continue"/>
            <w:shd w:val="clear" w:color="auto" w:fill="auto"/>
          </w:tcPr>
          <w:p>
            <w:pPr>
              <w:widowControl/>
              <w:jc w:val="left"/>
              <w:rPr>
                <w:rFonts w:ascii="仿宋" w:hAnsi="仿宋" w:eastAsia="仿宋" w:cs="宋体"/>
                <w:color w:val="000000"/>
                <w:kern w:val="0"/>
                <w:szCs w:val="21"/>
              </w:rPr>
            </w:pPr>
          </w:p>
        </w:tc>
        <w:tc>
          <w:tcPr>
            <w:tcW w:w="490" w:type="pct"/>
            <w:vMerge w:val="continue"/>
            <w:shd w:val="clear" w:color="auto" w:fill="auto"/>
            <w:vAlign w:val="center"/>
          </w:tcPr>
          <w:p>
            <w:pPr>
              <w:widowControl/>
              <w:jc w:val="left"/>
              <w:rPr>
                <w:rFonts w:ascii="仿宋" w:hAnsi="仿宋" w:eastAsia="仿宋" w:cs="宋体"/>
                <w:color w:val="000000"/>
                <w:kern w:val="0"/>
                <w:szCs w:val="21"/>
              </w:rPr>
            </w:pPr>
          </w:p>
        </w:tc>
        <w:tc>
          <w:tcPr>
            <w:tcW w:w="2171" w:type="pc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7.5.3 用人单位的满意度</w:t>
            </w:r>
          </w:p>
        </w:tc>
        <w:tc>
          <w:tcPr>
            <w:tcW w:w="679" w:type="pct"/>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招就处</w:t>
            </w:r>
          </w:p>
        </w:tc>
        <w:tc>
          <w:tcPr>
            <w:tcW w:w="72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各二级学院</w:t>
            </w:r>
          </w:p>
        </w:tc>
      </w:tr>
    </w:tbl>
    <w:p>
      <w:pPr>
        <w:spacing w:line="400" w:lineRule="exact"/>
        <w:rPr>
          <w:rFonts w:ascii="仿宋" w:hAnsi="仿宋" w:eastAsia="仿宋"/>
          <w:sz w:val="24"/>
        </w:rPr>
      </w:pPr>
      <w:r>
        <w:rPr>
          <w:rFonts w:hint="eastAsia" w:ascii="仿宋" w:hAnsi="仿宋" w:eastAsia="仿宋"/>
          <w:sz w:val="24"/>
        </w:rPr>
        <w:t>备注：</w:t>
      </w:r>
    </w:p>
    <w:p>
      <w:pPr>
        <w:spacing w:line="400" w:lineRule="exact"/>
        <w:ind w:firstLine="480" w:firstLineChars="200"/>
        <w:rPr>
          <w:rFonts w:ascii="仿宋" w:hAnsi="仿宋" w:eastAsia="仿宋"/>
          <w:sz w:val="24"/>
        </w:rPr>
      </w:pPr>
      <w:r>
        <w:rPr>
          <w:rFonts w:hint="eastAsia" w:ascii="仿宋" w:hAnsi="仿宋" w:eastAsia="仿宋"/>
          <w:sz w:val="24"/>
        </w:rPr>
        <w:t>1.第二类审核评估分为三种，学校可根据自身实际情况，选择且只能选择其中一种。</w:t>
      </w:r>
    </w:p>
    <w:p>
      <w:pPr>
        <w:spacing w:line="400" w:lineRule="exact"/>
        <w:ind w:firstLine="480" w:firstLineChars="200"/>
        <w:rPr>
          <w:rFonts w:ascii="仿宋" w:hAnsi="仿宋" w:eastAsia="仿宋"/>
          <w:sz w:val="24"/>
        </w:rPr>
      </w:pPr>
      <w:r>
        <w:rPr>
          <w:rFonts w:hint="eastAsia" w:ascii="仿宋" w:hAnsi="仿宋" w:eastAsia="仿宋"/>
          <w:sz w:val="24"/>
        </w:rPr>
        <w:t>2.二级指标和审核重点包括统一必选项、类型必选项、特色可选项、首评限选项。</w:t>
      </w:r>
    </w:p>
    <w:p>
      <w:pPr>
        <w:spacing w:line="400" w:lineRule="exact"/>
        <w:ind w:firstLine="480" w:firstLineChars="200"/>
        <w:rPr>
          <w:rFonts w:ascii="仿宋" w:hAnsi="仿宋" w:eastAsia="仿宋"/>
          <w:sz w:val="24"/>
        </w:rPr>
      </w:pPr>
      <w:r>
        <w:rPr>
          <w:rFonts w:hint="eastAsia" w:ascii="仿宋" w:hAnsi="仿宋" w:eastAsia="仿宋"/>
          <w:sz w:val="24"/>
        </w:rPr>
        <w:t>——“统一必选项”无特殊标识，所有高校必须选择；</w:t>
      </w:r>
    </w:p>
    <w:p>
      <w:pPr>
        <w:spacing w:line="400" w:lineRule="exact"/>
        <w:ind w:firstLine="480" w:firstLineChars="200"/>
        <w:rPr>
          <w:rFonts w:ascii="仿宋" w:hAnsi="仿宋" w:eastAsia="仿宋"/>
          <w:sz w:val="24"/>
        </w:rPr>
      </w:pPr>
      <w:r>
        <w:rPr>
          <w:rFonts w:hint="eastAsia" w:ascii="仿宋" w:hAnsi="仿宋" w:eastAsia="仿宋"/>
          <w:sz w:val="24"/>
        </w:rPr>
        <w:t>——“类型必选项”标识“B”，选择第一种的高校须统一选择“B1”，选择第二种的高校须统一选择“B2”；选择第三种的高校原则上选择“B2”；</w:t>
      </w:r>
    </w:p>
    <w:p>
      <w:pPr>
        <w:spacing w:line="400" w:lineRule="exact"/>
        <w:ind w:firstLine="480" w:firstLineChars="200"/>
        <w:rPr>
          <w:rFonts w:ascii="仿宋" w:hAnsi="仿宋" w:eastAsia="仿宋"/>
          <w:sz w:val="24"/>
        </w:rPr>
      </w:pPr>
      <w:r>
        <w:rPr>
          <w:rFonts w:hint="eastAsia" w:ascii="仿宋" w:hAnsi="仿宋" w:eastAsia="仿宋"/>
          <w:sz w:val="24"/>
        </w:rPr>
        <w:t>——“特色可选项”标识“K”，高校可根据办学定位和人才培养目标自主选择，其中：第一种与“K1”选项对应，第二种与“K2”选项对应；第三种原则上与“K2”选项对应；</w:t>
      </w:r>
    </w:p>
    <w:p>
      <w:pPr>
        <w:spacing w:line="400" w:lineRule="exact"/>
        <w:ind w:firstLine="480" w:firstLineChars="200"/>
        <w:rPr>
          <w:rFonts w:ascii="仿宋" w:hAnsi="仿宋" w:eastAsia="仿宋"/>
          <w:sz w:val="24"/>
        </w:rPr>
      </w:pPr>
      <w:r>
        <w:rPr>
          <w:rFonts w:hint="eastAsia" w:ascii="仿宋" w:hAnsi="仿宋" w:eastAsia="仿宋"/>
          <w:sz w:val="24"/>
        </w:rPr>
        <w:t>——“首评限选项”标识“X”，选择第三种的高校必须选择，其它高校不用选择。</w:t>
      </w:r>
    </w:p>
    <w:p>
      <w:pPr>
        <w:spacing w:line="400" w:lineRule="exact"/>
        <w:ind w:firstLine="480" w:firstLineChars="200"/>
        <w:rPr>
          <w:rFonts w:ascii="仿宋" w:hAnsi="仿宋" w:eastAsia="仿宋"/>
          <w:sz w:val="24"/>
        </w:rPr>
      </w:pPr>
      <w:r>
        <w:rPr>
          <w:rFonts w:hint="eastAsia" w:ascii="仿宋" w:hAnsi="仿宋" w:eastAsia="仿宋"/>
          <w:sz w:val="24"/>
        </w:rPr>
        <w:t>3.审核重点中定量指标的具体要求可参考国家相关标准。其中，【必选】是指该定量指标学校必须选择；【可选】是指该定量指标学校可根据自身发展需要和实际情况自主选择至少8项。</w:t>
      </w:r>
    </w:p>
    <w:p>
      <w:pPr>
        <w:spacing w:line="400" w:lineRule="exact"/>
        <w:ind w:firstLine="480" w:firstLineChars="200"/>
        <w:rPr>
          <w:rFonts w:ascii="仿宋" w:hAnsi="仿宋" w:eastAsia="仿宋"/>
          <w:sz w:val="24"/>
        </w:rPr>
      </w:pPr>
      <w:r>
        <w:rPr>
          <w:rFonts w:hint="eastAsia" w:ascii="仿宋" w:hAnsi="仿宋" w:eastAsia="仿宋"/>
          <w:sz w:val="24"/>
        </w:rPr>
        <w:t>4.表中定量指标计算原则上参照《中国教育监测与评价统计指标体系（2020年版）》（教发〔2020〕6号）。</w:t>
      </w:r>
    </w:p>
    <w:p>
      <w:pPr>
        <w:spacing w:line="400" w:lineRule="exact"/>
        <w:ind w:firstLine="480" w:firstLineChars="200"/>
        <w:rPr>
          <w:rFonts w:ascii="仿宋" w:hAnsi="仿宋" w:eastAsia="仿宋"/>
          <w:sz w:val="24"/>
        </w:rPr>
      </w:pPr>
      <w:r>
        <w:rPr>
          <w:rFonts w:hint="eastAsia" w:ascii="仿宋" w:hAnsi="仿宋" w:eastAsia="仿宋"/>
          <w:sz w:val="24"/>
        </w:rPr>
        <w:t>5.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它教学商品和服务支出（含学生活动费、教学咨询研究机构会员费、教学改革科研业务费、委托业务费等）。取会计决算数。</w:t>
      </w:r>
    </w:p>
    <w:p>
      <w:pPr>
        <w:spacing w:line="400" w:lineRule="exact"/>
        <w:ind w:firstLine="480" w:firstLineChars="200"/>
        <w:rPr>
          <w:rFonts w:ascii="仿宋" w:hAnsi="仿宋" w:eastAsia="仿宋"/>
          <w:sz w:val="24"/>
        </w:rPr>
      </w:pPr>
      <w:r>
        <w:rPr>
          <w:rFonts w:hint="eastAsia" w:ascii="仿宋" w:hAnsi="仿宋" w:eastAsia="仿宋"/>
          <w:sz w:val="24"/>
        </w:rPr>
        <w:t>6.年新增教学科研仪器设备所占比例（参照教育部教发〔2004〕2号文件）：年新增教学科研仪器设备所占比例≥10%。凡教学仪器设备总值超过1亿元的高校，当年新增教学仪器设备值超过1000万元，该项指标即为合格。</w:t>
      </w:r>
    </w:p>
    <w:p>
      <w:pPr>
        <w:spacing w:line="400" w:lineRule="exact"/>
        <w:ind w:firstLine="480" w:firstLineChars="200"/>
        <w:rPr>
          <w:rFonts w:ascii="仿宋" w:hAnsi="仿宋" w:eastAsia="仿宋"/>
          <w:sz w:val="24"/>
        </w:rPr>
      </w:pPr>
      <w:r>
        <w:rPr>
          <w:rFonts w:hint="eastAsia" w:ascii="仿宋" w:hAnsi="仿宋" w:eastAsia="仿宋"/>
          <w:sz w:val="24"/>
        </w:rPr>
        <w:t>7.生均教学科研仪器设备值=普通高校教学与科研仪器设备总资产值/折合在校生数（参照教育部教发〔2004〕2号文件），综合、师范、民族院校，工科、农、林院校和医学院校≥5000元/生，体育、艺术院校≥4000元/生，语文、财经、政法院校≥3000元/生。</w:t>
      </w:r>
    </w:p>
    <w:p>
      <w:pPr>
        <w:spacing w:line="400" w:lineRule="exact"/>
        <w:ind w:firstLine="480" w:firstLineChars="200"/>
        <w:rPr>
          <w:rFonts w:ascii="仿宋" w:hAnsi="仿宋" w:eastAsia="仿宋"/>
          <w:sz w:val="24"/>
        </w:rPr>
      </w:pPr>
      <w:r>
        <w:rPr>
          <w:rFonts w:hint="eastAsia" w:ascii="仿宋" w:hAnsi="仿宋" w:eastAsia="仿宋"/>
          <w:sz w:val="24"/>
        </w:rPr>
        <w:t>8.生师比=折合在校生数/专任教师总数（参照教育部教发〔2004〕2号文件），综合、师范、民族院校，工科、农、林院校和语文、财经、政法院校≤18:1；医学院校≤16:1；体育、艺术院校≤11:1。</w:t>
      </w:r>
    </w:p>
    <w:p>
      <w:pPr>
        <w:spacing w:line="400" w:lineRule="exact"/>
        <w:ind w:firstLine="480" w:firstLineChars="200"/>
        <w:rPr>
          <w:rFonts w:ascii="仿宋" w:hAnsi="仿宋" w:eastAsia="仿宋"/>
          <w:sz w:val="24"/>
        </w:rPr>
      </w:pPr>
      <w:r>
        <w:rPr>
          <w:rFonts w:hint="eastAsia" w:ascii="仿宋" w:hAnsi="仿宋" w:eastAsia="仿宋"/>
          <w:sz w:val="24"/>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它（占用教学资源的学历教育学生数，例如成人脱产本专科在校生数）。</w:t>
      </w:r>
    </w:p>
    <w:p>
      <w:pPr>
        <w:spacing w:line="400" w:lineRule="exact"/>
        <w:ind w:firstLine="480" w:firstLineChars="200"/>
        <w:rPr>
          <w:rFonts w:ascii="仿宋" w:hAnsi="仿宋" w:eastAsia="仿宋"/>
          <w:sz w:val="24"/>
        </w:rPr>
      </w:pPr>
      <w:r>
        <w:rPr>
          <w:rFonts w:hint="eastAsia" w:ascii="仿宋" w:hAnsi="仿宋" w:eastAsia="仿宋"/>
          <w:sz w:val="24"/>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400" w:lineRule="exact"/>
        <w:ind w:firstLine="480" w:firstLineChars="200"/>
        <w:rPr>
          <w:rFonts w:ascii="仿宋" w:hAnsi="仿宋" w:eastAsia="仿宋"/>
          <w:sz w:val="32"/>
          <w:szCs w:val="32"/>
        </w:rPr>
      </w:pPr>
      <w:r>
        <w:rPr>
          <w:rFonts w:hint="eastAsia" w:ascii="仿宋" w:hAnsi="仿宋" w:eastAsia="仿宋"/>
          <w:sz w:val="24"/>
        </w:rPr>
        <w:t>9.我校选择以第二类第一种参与审核评估。一级指标7个，二级指标26个（其中特色可选2个），审核重点76个（其中特色可选13个），定量指标43个（其中必选指标30个、可选指标13个，必选指标必须全部选择，可选指标可根据学校自身发展需要和实际情况自主选择至少8项）</w:t>
      </w:r>
    </w:p>
    <w:sectPr>
      <w:footerReference r:id="rId3" w:type="default"/>
      <w:footerReference r:id="rId4" w:type="even"/>
      <w:pgSz w:w="16838" w:h="11906" w:orient="landscape"/>
      <w:pgMar w:top="1417" w:right="1418" w:bottom="1417" w:left="1418" w:header="851" w:footer="992"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77"/>
    <w:rsid w:val="00000568"/>
    <w:rsid w:val="000013A1"/>
    <w:rsid w:val="0001409C"/>
    <w:rsid w:val="00015668"/>
    <w:rsid w:val="00015899"/>
    <w:rsid w:val="0002219E"/>
    <w:rsid w:val="00022304"/>
    <w:rsid w:val="0002349D"/>
    <w:rsid w:val="00025866"/>
    <w:rsid w:val="000278F8"/>
    <w:rsid w:val="000330AD"/>
    <w:rsid w:val="00037D8E"/>
    <w:rsid w:val="00041479"/>
    <w:rsid w:val="00044CF3"/>
    <w:rsid w:val="00044FE2"/>
    <w:rsid w:val="0004580A"/>
    <w:rsid w:val="000472F8"/>
    <w:rsid w:val="00051681"/>
    <w:rsid w:val="00054C58"/>
    <w:rsid w:val="00057E1F"/>
    <w:rsid w:val="0006131F"/>
    <w:rsid w:val="0006370F"/>
    <w:rsid w:val="0006399E"/>
    <w:rsid w:val="00063B19"/>
    <w:rsid w:val="000654F1"/>
    <w:rsid w:val="00065ACB"/>
    <w:rsid w:val="00066FB3"/>
    <w:rsid w:val="00070C86"/>
    <w:rsid w:val="00070CD1"/>
    <w:rsid w:val="00073574"/>
    <w:rsid w:val="00073815"/>
    <w:rsid w:val="000748DE"/>
    <w:rsid w:val="00077471"/>
    <w:rsid w:val="00077E21"/>
    <w:rsid w:val="00080F4C"/>
    <w:rsid w:val="0008210D"/>
    <w:rsid w:val="000930F0"/>
    <w:rsid w:val="00094C05"/>
    <w:rsid w:val="0009505B"/>
    <w:rsid w:val="00096528"/>
    <w:rsid w:val="000A10FB"/>
    <w:rsid w:val="000A1841"/>
    <w:rsid w:val="000A2853"/>
    <w:rsid w:val="000B3C0C"/>
    <w:rsid w:val="000B435F"/>
    <w:rsid w:val="000C5DE9"/>
    <w:rsid w:val="000C6D22"/>
    <w:rsid w:val="000C7423"/>
    <w:rsid w:val="000D117C"/>
    <w:rsid w:val="000D58B2"/>
    <w:rsid w:val="000D6630"/>
    <w:rsid w:val="000D6632"/>
    <w:rsid w:val="000E088E"/>
    <w:rsid w:val="000E2594"/>
    <w:rsid w:val="000E4F73"/>
    <w:rsid w:val="000E6250"/>
    <w:rsid w:val="000E75FB"/>
    <w:rsid w:val="000E7E03"/>
    <w:rsid w:val="000F7445"/>
    <w:rsid w:val="00102D2A"/>
    <w:rsid w:val="001054C4"/>
    <w:rsid w:val="00110837"/>
    <w:rsid w:val="001111FF"/>
    <w:rsid w:val="00111829"/>
    <w:rsid w:val="00112141"/>
    <w:rsid w:val="00114376"/>
    <w:rsid w:val="001220D9"/>
    <w:rsid w:val="00125B9B"/>
    <w:rsid w:val="00127617"/>
    <w:rsid w:val="00130DF1"/>
    <w:rsid w:val="00135508"/>
    <w:rsid w:val="001406BD"/>
    <w:rsid w:val="00143089"/>
    <w:rsid w:val="00144FA4"/>
    <w:rsid w:val="00152C93"/>
    <w:rsid w:val="00152E95"/>
    <w:rsid w:val="00153F2A"/>
    <w:rsid w:val="00154D72"/>
    <w:rsid w:val="00165788"/>
    <w:rsid w:val="00166D9D"/>
    <w:rsid w:val="001720DE"/>
    <w:rsid w:val="00172D77"/>
    <w:rsid w:val="00175D62"/>
    <w:rsid w:val="001832B7"/>
    <w:rsid w:val="00187654"/>
    <w:rsid w:val="0018773B"/>
    <w:rsid w:val="0019222A"/>
    <w:rsid w:val="0019254C"/>
    <w:rsid w:val="00192A89"/>
    <w:rsid w:val="00193FF6"/>
    <w:rsid w:val="00197392"/>
    <w:rsid w:val="001A0CCD"/>
    <w:rsid w:val="001A2BEB"/>
    <w:rsid w:val="001A44C6"/>
    <w:rsid w:val="001A5BA2"/>
    <w:rsid w:val="001A6D34"/>
    <w:rsid w:val="001B2183"/>
    <w:rsid w:val="001B3302"/>
    <w:rsid w:val="001B3513"/>
    <w:rsid w:val="001B59A0"/>
    <w:rsid w:val="001C0E3B"/>
    <w:rsid w:val="001C1414"/>
    <w:rsid w:val="001C75F6"/>
    <w:rsid w:val="001C7B06"/>
    <w:rsid w:val="001D2605"/>
    <w:rsid w:val="001D7351"/>
    <w:rsid w:val="001D7FBD"/>
    <w:rsid w:val="001E1885"/>
    <w:rsid w:val="001E2EC9"/>
    <w:rsid w:val="001E6577"/>
    <w:rsid w:val="001E67CB"/>
    <w:rsid w:val="001E6E1F"/>
    <w:rsid w:val="001F1661"/>
    <w:rsid w:val="001F1B6C"/>
    <w:rsid w:val="001F5238"/>
    <w:rsid w:val="00201AC7"/>
    <w:rsid w:val="00202F9F"/>
    <w:rsid w:val="00206603"/>
    <w:rsid w:val="0021115A"/>
    <w:rsid w:val="002149D6"/>
    <w:rsid w:val="00223584"/>
    <w:rsid w:val="00225590"/>
    <w:rsid w:val="00230622"/>
    <w:rsid w:val="002365B5"/>
    <w:rsid w:val="0024555C"/>
    <w:rsid w:val="00253212"/>
    <w:rsid w:val="002536D5"/>
    <w:rsid w:val="00255B0B"/>
    <w:rsid w:val="00256EF5"/>
    <w:rsid w:val="00260AD2"/>
    <w:rsid w:val="00260E90"/>
    <w:rsid w:val="002659C7"/>
    <w:rsid w:val="00266A5B"/>
    <w:rsid w:val="00273DE6"/>
    <w:rsid w:val="002824E1"/>
    <w:rsid w:val="00286397"/>
    <w:rsid w:val="00290274"/>
    <w:rsid w:val="00295030"/>
    <w:rsid w:val="002958C0"/>
    <w:rsid w:val="00296575"/>
    <w:rsid w:val="002A0C85"/>
    <w:rsid w:val="002A0CAD"/>
    <w:rsid w:val="002A1171"/>
    <w:rsid w:val="002A1ABE"/>
    <w:rsid w:val="002A1C94"/>
    <w:rsid w:val="002A37F0"/>
    <w:rsid w:val="002A45CF"/>
    <w:rsid w:val="002A4681"/>
    <w:rsid w:val="002A770C"/>
    <w:rsid w:val="002B1CC4"/>
    <w:rsid w:val="002B34C5"/>
    <w:rsid w:val="002B700C"/>
    <w:rsid w:val="002B7CFE"/>
    <w:rsid w:val="002C22FA"/>
    <w:rsid w:val="002C278E"/>
    <w:rsid w:val="002C4B8A"/>
    <w:rsid w:val="002C7245"/>
    <w:rsid w:val="002D0A80"/>
    <w:rsid w:val="002D1649"/>
    <w:rsid w:val="002D19E5"/>
    <w:rsid w:val="002D1C18"/>
    <w:rsid w:val="002E16B3"/>
    <w:rsid w:val="002E31AF"/>
    <w:rsid w:val="002E39D2"/>
    <w:rsid w:val="002E567E"/>
    <w:rsid w:val="002E6499"/>
    <w:rsid w:val="002E7150"/>
    <w:rsid w:val="002F19DE"/>
    <w:rsid w:val="002F444E"/>
    <w:rsid w:val="002F54D6"/>
    <w:rsid w:val="00300D07"/>
    <w:rsid w:val="00303A59"/>
    <w:rsid w:val="003043A3"/>
    <w:rsid w:val="00305068"/>
    <w:rsid w:val="003072D3"/>
    <w:rsid w:val="00307C57"/>
    <w:rsid w:val="00320EA8"/>
    <w:rsid w:val="003241FF"/>
    <w:rsid w:val="00325173"/>
    <w:rsid w:val="00333D7B"/>
    <w:rsid w:val="0034383F"/>
    <w:rsid w:val="003512E0"/>
    <w:rsid w:val="00354B90"/>
    <w:rsid w:val="00357B85"/>
    <w:rsid w:val="00360050"/>
    <w:rsid w:val="00363CF0"/>
    <w:rsid w:val="00370C08"/>
    <w:rsid w:val="00372B3D"/>
    <w:rsid w:val="00373F39"/>
    <w:rsid w:val="00377718"/>
    <w:rsid w:val="003829C8"/>
    <w:rsid w:val="00383FBB"/>
    <w:rsid w:val="00385E2B"/>
    <w:rsid w:val="00396DEC"/>
    <w:rsid w:val="00397279"/>
    <w:rsid w:val="003A1209"/>
    <w:rsid w:val="003A4900"/>
    <w:rsid w:val="003B4843"/>
    <w:rsid w:val="003C43AF"/>
    <w:rsid w:val="003C4C7E"/>
    <w:rsid w:val="003D1514"/>
    <w:rsid w:val="003D3547"/>
    <w:rsid w:val="003D5D3F"/>
    <w:rsid w:val="003D6D5E"/>
    <w:rsid w:val="003D796D"/>
    <w:rsid w:val="003E2DFA"/>
    <w:rsid w:val="003E3437"/>
    <w:rsid w:val="003F30C5"/>
    <w:rsid w:val="003F5721"/>
    <w:rsid w:val="003F61D8"/>
    <w:rsid w:val="00400ED8"/>
    <w:rsid w:val="00406207"/>
    <w:rsid w:val="00410555"/>
    <w:rsid w:val="00411E76"/>
    <w:rsid w:val="00412214"/>
    <w:rsid w:val="004141BD"/>
    <w:rsid w:val="004160F9"/>
    <w:rsid w:val="00420520"/>
    <w:rsid w:val="004258F1"/>
    <w:rsid w:val="00427B10"/>
    <w:rsid w:val="00427C79"/>
    <w:rsid w:val="00432989"/>
    <w:rsid w:val="00441D4A"/>
    <w:rsid w:val="004421BC"/>
    <w:rsid w:val="004460C2"/>
    <w:rsid w:val="00450438"/>
    <w:rsid w:val="00451FA7"/>
    <w:rsid w:val="00452DF2"/>
    <w:rsid w:val="00455AC1"/>
    <w:rsid w:val="00461F50"/>
    <w:rsid w:val="00467005"/>
    <w:rsid w:val="00470346"/>
    <w:rsid w:val="00471104"/>
    <w:rsid w:val="00471149"/>
    <w:rsid w:val="00472F4B"/>
    <w:rsid w:val="00477168"/>
    <w:rsid w:val="00482723"/>
    <w:rsid w:val="0048357E"/>
    <w:rsid w:val="00484F0F"/>
    <w:rsid w:val="00486C17"/>
    <w:rsid w:val="004922D6"/>
    <w:rsid w:val="00493438"/>
    <w:rsid w:val="00497E91"/>
    <w:rsid w:val="004A1C6E"/>
    <w:rsid w:val="004A2457"/>
    <w:rsid w:val="004A3B7C"/>
    <w:rsid w:val="004A4D44"/>
    <w:rsid w:val="004A6F8A"/>
    <w:rsid w:val="004B0004"/>
    <w:rsid w:val="004B0C5D"/>
    <w:rsid w:val="004B1003"/>
    <w:rsid w:val="004B2C69"/>
    <w:rsid w:val="004B2F34"/>
    <w:rsid w:val="004B467A"/>
    <w:rsid w:val="004B4F00"/>
    <w:rsid w:val="004B5168"/>
    <w:rsid w:val="004B7329"/>
    <w:rsid w:val="004C0139"/>
    <w:rsid w:val="004C015C"/>
    <w:rsid w:val="004C35F4"/>
    <w:rsid w:val="004C61EE"/>
    <w:rsid w:val="004D1459"/>
    <w:rsid w:val="004D4966"/>
    <w:rsid w:val="004D4D0F"/>
    <w:rsid w:val="004E2FBE"/>
    <w:rsid w:val="004E33D0"/>
    <w:rsid w:val="004E4E10"/>
    <w:rsid w:val="004F01A3"/>
    <w:rsid w:val="004F2333"/>
    <w:rsid w:val="004F4CE4"/>
    <w:rsid w:val="004F5799"/>
    <w:rsid w:val="004F6F8D"/>
    <w:rsid w:val="005052DC"/>
    <w:rsid w:val="005101F4"/>
    <w:rsid w:val="005138A2"/>
    <w:rsid w:val="005265CA"/>
    <w:rsid w:val="005328E3"/>
    <w:rsid w:val="005338A5"/>
    <w:rsid w:val="00534E77"/>
    <w:rsid w:val="00540416"/>
    <w:rsid w:val="00540ECC"/>
    <w:rsid w:val="00542A34"/>
    <w:rsid w:val="005438B3"/>
    <w:rsid w:val="005447DE"/>
    <w:rsid w:val="00547D27"/>
    <w:rsid w:val="0055022F"/>
    <w:rsid w:val="005562C6"/>
    <w:rsid w:val="00566787"/>
    <w:rsid w:val="00571EA5"/>
    <w:rsid w:val="0057350E"/>
    <w:rsid w:val="00576E0A"/>
    <w:rsid w:val="0057704A"/>
    <w:rsid w:val="00584195"/>
    <w:rsid w:val="00586204"/>
    <w:rsid w:val="00587087"/>
    <w:rsid w:val="00590147"/>
    <w:rsid w:val="0059173A"/>
    <w:rsid w:val="005922C2"/>
    <w:rsid w:val="005928B0"/>
    <w:rsid w:val="00594C6A"/>
    <w:rsid w:val="00595738"/>
    <w:rsid w:val="005958B0"/>
    <w:rsid w:val="005A0FF3"/>
    <w:rsid w:val="005A221E"/>
    <w:rsid w:val="005A5277"/>
    <w:rsid w:val="005A531F"/>
    <w:rsid w:val="005A77F8"/>
    <w:rsid w:val="005B0076"/>
    <w:rsid w:val="005B03C4"/>
    <w:rsid w:val="005B7E43"/>
    <w:rsid w:val="005C16D9"/>
    <w:rsid w:val="005C66C5"/>
    <w:rsid w:val="005C7618"/>
    <w:rsid w:val="005D209B"/>
    <w:rsid w:val="005D26FC"/>
    <w:rsid w:val="005D3CC1"/>
    <w:rsid w:val="005D7774"/>
    <w:rsid w:val="005E27DE"/>
    <w:rsid w:val="005E6FF3"/>
    <w:rsid w:val="005E733A"/>
    <w:rsid w:val="005F120A"/>
    <w:rsid w:val="005F41A5"/>
    <w:rsid w:val="005F4985"/>
    <w:rsid w:val="005F582D"/>
    <w:rsid w:val="006034DD"/>
    <w:rsid w:val="00603ED9"/>
    <w:rsid w:val="006041AF"/>
    <w:rsid w:val="00616A3D"/>
    <w:rsid w:val="00621A81"/>
    <w:rsid w:val="0062239C"/>
    <w:rsid w:val="00622522"/>
    <w:rsid w:val="00623362"/>
    <w:rsid w:val="006274EA"/>
    <w:rsid w:val="0063076B"/>
    <w:rsid w:val="00630CF7"/>
    <w:rsid w:val="00634DAF"/>
    <w:rsid w:val="006378A1"/>
    <w:rsid w:val="00640538"/>
    <w:rsid w:val="00640F6A"/>
    <w:rsid w:val="006432AD"/>
    <w:rsid w:val="00643630"/>
    <w:rsid w:val="00650366"/>
    <w:rsid w:val="006545C0"/>
    <w:rsid w:val="00661418"/>
    <w:rsid w:val="0067407A"/>
    <w:rsid w:val="00675CD0"/>
    <w:rsid w:val="006765E5"/>
    <w:rsid w:val="00676F2F"/>
    <w:rsid w:val="00680E4A"/>
    <w:rsid w:val="006A0011"/>
    <w:rsid w:val="006A1140"/>
    <w:rsid w:val="006A3ECD"/>
    <w:rsid w:val="006B0FF8"/>
    <w:rsid w:val="006B192A"/>
    <w:rsid w:val="006C0636"/>
    <w:rsid w:val="006C5164"/>
    <w:rsid w:val="006C57B8"/>
    <w:rsid w:val="006C63CB"/>
    <w:rsid w:val="006D193F"/>
    <w:rsid w:val="006D2F90"/>
    <w:rsid w:val="006D4F1C"/>
    <w:rsid w:val="006D55F5"/>
    <w:rsid w:val="006E02F8"/>
    <w:rsid w:val="006E2566"/>
    <w:rsid w:val="006E38B3"/>
    <w:rsid w:val="006F0720"/>
    <w:rsid w:val="006F3503"/>
    <w:rsid w:val="00705586"/>
    <w:rsid w:val="0070678C"/>
    <w:rsid w:val="00706FB1"/>
    <w:rsid w:val="00712702"/>
    <w:rsid w:val="00712FFC"/>
    <w:rsid w:val="00714411"/>
    <w:rsid w:val="007144AB"/>
    <w:rsid w:val="00720468"/>
    <w:rsid w:val="00723148"/>
    <w:rsid w:val="007246AA"/>
    <w:rsid w:val="007254E9"/>
    <w:rsid w:val="007271FB"/>
    <w:rsid w:val="00731375"/>
    <w:rsid w:val="007332E3"/>
    <w:rsid w:val="00735015"/>
    <w:rsid w:val="007361C5"/>
    <w:rsid w:val="00740A5F"/>
    <w:rsid w:val="00741524"/>
    <w:rsid w:val="00742A42"/>
    <w:rsid w:val="00746640"/>
    <w:rsid w:val="00753CE3"/>
    <w:rsid w:val="00760C1F"/>
    <w:rsid w:val="00761433"/>
    <w:rsid w:val="0076618D"/>
    <w:rsid w:val="00767D44"/>
    <w:rsid w:val="0077230C"/>
    <w:rsid w:val="00773353"/>
    <w:rsid w:val="00781B9F"/>
    <w:rsid w:val="007827C9"/>
    <w:rsid w:val="00783B00"/>
    <w:rsid w:val="00783F98"/>
    <w:rsid w:val="0078414F"/>
    <w:rsid w:val="0078434E"/>
    <w:rsid w:val="00785AB1"/>
    <w:rsid w:val="0078637F"/>
    <w:rsid w:val="00796D05"/>
    <w:rsid w:val="007976A4"/>
    <w:rsid w:val="0079787A"/>
    <w:rsid w:val="007A1B54"/>
    <w:rsid w:val="007A1C14"/>
    <w:rsid w:val="007A1FE2"/>
    <w:rsid w:val="007A4FBB"/>
    <w:rsid w:val="007A5AA9"/>
    <w:rsid w:val="007A6847"/>
    <w:rsid w:val="007B2AF3"/>
    <w:rsid w:val="007B2BE0"/>
    <w:rsid w:val="007C321A"/>
    <w:rsid w:val="007C4808"/>
    <w:rsid w:val="007C4BCE"/>
    <w:rsid w:val="007C6CC8"/>
    <w:rsid w:val="007C70A5"/>
    <w:rsid w:val="007D2735"/>
    <w:rsid w:val="007D361B"/>
    <w:rsid w:val="007D672B"/>
    <w:rsid w:val="007D6D56"/>
    <w:rsid w:val="007E492E"/>
    <w:rsid w:val="007E73E8"/>
    <w:rsid w:val="007E7E69"/>
    <w:rsid w:val="007F2A23"/>
    <w:rsid w:val="007F2B04"/>
    <w:rsid w:val="007F40CE"/>
    <w:rsid w:val="007F44B2"/>
    <w:rsid w:val="007F54D2"/>
    <w:rsid w:val="007F6598"/>
    <w:rsid w:val="00800E70"/>
    <w:rsid w:val="008012CF"/>
    <w:rsid w:val="00803AA5"/>
    <w:rsid w:val="00805EA1"/>
    <w:rsid w:val="00806173"/>
    <w:rsid w:val="0081007D"/>
    <w:rsid w:val="00811CBB"/>
    <w:rsid w:val="00813108"/>
    <w:rsid w:val="00817CA4"/>
    <w:rsid w:val="00822CB9"/>
    <w:rsid w:val="00834325"/>
    <w:rsid w:val="00834C9F"/>
    <w:rsid w:val="008378C2"/>
    <w:rsid w:val="008438E5"/>
    <w:rsid w:val="008440C1"/>
    <w:rsid w:val="0085053D"/>
    <w:rsid w:val="00850C0A"/>
    <w:rsid w:val="00853BFC"/>
    <w:rsid w:val="00853C54"/>
    <w:rsid w:val="0085513F"/>
    <w:rsid w:val="00857BE6"/>
    <w:rsid w:val="00862069"/>
    <w:rsid w:val="0086356F"/>
    <w:rsid w:val="00865163"/>
    <w:rsid w:val="00865F10"/>
    <w:rsid w:val="008662AA"/>
    <w:rsid w:val="008714D4"/>
    <w:rsid w:val="0087272C"/>
    <w:rsid w:val="00873EB6"/>
    <w:rsid w:val="00875F46"/>
    <w:rsid w:val="00881A9D"/>
    <w:rsid w:val="00885410"/>
    <w:rsid w:val="0088561D"/>
    <w:rsid w:val="00886E8B"/>
    <w:rsid w:val="00886EB0"/>
    <w:rsid w:val="00893EE0"/>
    <w:rsid w:val="00895A25"/>
    <w:rsid w:val="00896248"/>
    <w:rsid w:val="008968A1"/>
    <w:rsid w:val="008A0105"/>
    <w:rsid w:val="008A4A0A"/>
    <w:rsid w:val="008B3445"/>
    <w:rsid w:val="008B34C1"/>
    <w:rsid w:val="008B3F66"/>
    <w:rsid w:val="008B4A85"/>
    <w:rsid w:val="008B4CEB"/>
    <w:rsid w:val="008B700A"/>
    <w:rsid w:val="008C02AB"/>
    <w:rsid w:val="008C2DDA"/>
    <w:rsid w:val="008D0AD3"/>
    <w:rsid w:val="008D3B37"/>
    <w:rsid w:val="008D43F8"/>
    <w:rsid w:val="008D4AE2"/>
    <w:rsid w:val="008E0419"/>
    <w:rsid w:val="008F0A52"/>
    <w:rsid w:val="00902086"/>
    <w:rsid w:val="00904530"/>
    <w:rsid w:val="009048FB"/>
    <w:rsid w:val="00904AD4"/>
    <w:rsid w:val="00904E96"/>
    <w:rsid w:val="00905007"/>
    <w:rsid w:val="009202CE"/>
    <w:rsid w:val="00923D68"/>
    <w:rsid w:val="00930D69"/>
    <w:rsid w:val="0093623C"/>
    <w:rsid w:val="00946823"/>
    <w:rsid w:val="009573AD"/>
    <w:rsid w:val="00960FD0"/>
    <w:rsid w:val="009616E7"/>
    <w:rsid w:val="00966831"/>
    <w:rsid w:val="0097577B"/>
    <w:rsid w:val="009765D8"/>
    <w:rsid w:val="0098005F"/>
    <w:rsid w:val="009829FE"/>
    <w:rsid w:val="00982F49"/>
    <w:rsid w:val="0098474F"/>
    <w:rsid w:val="009914ED"/>
    <w:rsid w:val="009940FE"/>
    <w:rsid w:val="0099414B"/>
    <w:rsid w:val="00994534"/>
    <w:rsid w:val="009968CE"/>
    <w:rsid w:val="00997D5C"/>
    <w:rsid w:val="009A1235"/>
    <w:rsid w:val="009A4296"/>
    <w:rsid w:val="009A42BC"/>
    <w:rsid w:val="009A6E54"/>
    <w:rsid w:val="009B0CCC"/>
    <w:rsid w:val="009B377E"/>
    <w:rsid w:val="009B7B27"/>
    <w:rsid w:val="009B7F7D"/>
    <w:rsid w:val="009C1C88"/>
    <w:rsid w:val="009C1DBD"/>
    <w:rsid w:val="009C1F5F"/>
    <w:rsid w:val="009C7ED3"/>
    <w:rsid w:val="009D277E"/>
    <w:rsid w:val="009D2A68"/>
    <w:rsid w:val="009D3E0A"/>
    <w:rsid w:val="009D5327"/>
    <w:rsid w:val="009D7207"/>
    <w:rsid w:val="009E6B36"/>
    <w:rsid w:val="009F0A24"/>
    <w:rsid w:val="009F1008"/>
    <w:rsid w:val="009F4821"/>
    <w:rsid w:val="009F616A"/>
    <w:rsid w:val="009F6651"/>
    <w:rsid w:val="009F6749"/>
    <w:rsid w:val="00A047C7"/>
    <w:rsid w:val="00A0535F"/>
    <w:rsid w:val="00A11F36"/>
    <w:rsid w:val="00A14B28"/>
    <w:rsid w:val="00A150A3"/>
    <w:rsid w:val="00A17804"/>
    <w:rsid w:val="00A233E4"/>
    <w:rsid w:val="00A253F3"/>
    <w:rsid w:val="00A32722"/>
    <w:rsid w:val="00A361EC"/>
    <w:rsid w:val="00A3726B"/>
    <w:rsid w:val="00A40742"/>
    <w:rsid w:val="00A45726"/>
    <w:rsid w:val="00A4583A"/>
    <w:rsid w:val="00A4634E"/>
    <w:rsid w:val="00A4708E"/>
    <w:rsid w:val="00A54781"/>
    <w:rsid w:val="00A5691E"/>
    <w:rsid w:val="00A6144D"/>
    <w:rsid w:val="00A668C9"/>
    <w:rsid w:val="00A70496"/>
    <w:rsid w:val="00A757D4"/>
    <w:rsid w:val="00A8317B"/>
    <w:rsid w:val="00A85F46"/>
    <w:rsid w:val="00A90201"/>
    <w:rsid w:val="00A91AAA"/>
    <w:rsid w:val="00A91B99"/>
    <w:rsid w:val="00A96647"/>
    <w:rsid w:val="00AA2DE4"/>
    <w:rsid w:val="00AA757B"/>
    <w:rsid w:val="00AA7DA7"/>
    <w:rsid w:val="00AB1090"/>
    <w:rsid w:val="00AB31F1"/>
    <w:rsid w:val="00AB6D34"/>
    <w:rsid w:val="00AB6EB6"/>
    <w:rsid w:val="00AB7A4B"/>
    <w:rsid w:val="00AC3E6B"/>
    <w:rsid w:val="00AC45E2"/>
    <w:rsid w:val="00AD2713"/>
    <w:rsid w:val="00AD378F"/>
    <w:rsid w:val="00AD3F32"/>
    <w:rsid w:val="00AE1CD8"/>
    <w:rsid w:val="00AE2547"/>
    <w:rsid w:val="00AE2F01"/>
    <w:rsid w:val="00AF479A"/>
    <w:rsid w:val="00B013B5"/>
    <w:rsid w:val="00B1157D"/>
    <w:rsid w:val="00B128A7"/>
    <w:rsid w:val="00B20225"/>
    <w:rsid w:val="00B2231E"/>
    <w:rsid w:val="00B26F23"/>
    <w:rsid w:val="00B30DC7"/>
    <w:rsid w:val="00B327F9"/>
    <w:rsid w:val="00B36638"/>
    <w:rsid w:val="00B449F6"/>
    <w:rsid w:val="00B4750A"/>
    <w:rsid w:val="00B51892"/>
    <w:rsid w:val="00B579BD"/>
    <w:rsid w:val="00B6049F"/>
    <w:rsid w:val="00B62507"/>
    <w:rsid w:val="00B67D27"/>
    <w:rsid w:val="00B76179"/>
    <w:rsid w:val="00B773C3"/>
    <w:rsid w:val="00B80E0B"/>
    <w:rsid w:val="00B81977"/>
    <w:rsid w:val="00B86598"/>
    <w:rsid w:val="00B867E7"/>
    <w:rsid w:val="00B86E45"/>
    <w:rsid w:val="00B91A5C"/>
    <w:rsid w:val="00B9461B"/>
    <w:rsid w:val="00B96CC3"/>
    <w:rsid w:val="00B976BF"/>
    <w:rsid w:val="00B97959"/>
    <w:rsid w:val="00BA172D"/>
    <w:rsid w:val="00BA2BC1"/>
    <w:rsid w:val="00BA2DCA"/>
    <w:rsid w:val="00BA608C"/>
    <w:rsid w:val="00BA7299"/>
    <w:rsid w:val="00BA753B"/>
    <w:rsid w:val="00BB1228"/>
    <w:rsid w:val="00BB35F3"/>
    <w:rsid w:val="00BB3A59"/>
    <w:rsid w:val="00BB3B87"/>
    <w:rsid w:val="00BB439F"/>
    <w:rsid w:val="00BB62B9"/>
    <w:rsid w:val="00BC09C9"/>
    <w:rsid w:val="00BC3DC8"/>
    <w:rsid w:val="00BC5F06"/>
    <w:rsid w:val="00BD073E"/>
    <w:rsid w:val="00BD0AD2"/>
    <w:rsid w:val="00BD27F1"/>
    <w:rsid w:val="00BD54B2"/>
    <w:rsid w:val="00BD6381"/>
    <w:rsid w:val="00BE2321"/>
    <w:rsid w:val="00BE3AD9"/>
    <w:rsid w:val="00BF1CCB"/>
    <w:rsid w:val="00BF5DD7"/>
    <w:rsid w:val="00BF6764"/>
    <w:rsid w:val="00BF7F9F"/>
    <w:rsid w:val="00C00B30"/>
    <w:rsid w:val="00C0180D"/>
    <w:rsid w:val="00C04B16"/>
    <w:rsid w:val="00C04CE1"/>
    <w:rsid w:val="00C15AE2"/>
    <w:rsid w:val="00C16C4E"/>
    <w:rsid w:val="00C21028"/>
    <w:rsid w:val="00C224CB"/>
    <w:rsid w:val="00C22950"/>
    <w:rsid w:val="00C3130F"/>
    <w:rsid w:val="00C3151C"/>
    <w:rsid w:val="00C42C3F"/>
    <w:rsid w:val="00C4392C"/>
    <w:rsid w:val="00C4507E"/>
    <w:rsid w:val="00C4693B"/>
    <w:rsid w:val="00C4712B"/>
    <w:rsid w:val="00C5266B"/>
    <w:rsid w:val="00C54846"/>
    <w:rsid w:val="00C55522"/>
    <w:rsid w:val="00C55B4A"/>
    <w:rsid w:val="00C60EBF"/>
    <w:rsid w:val="00C63B9E"/>
    <w:rsid w:val="00C64886"/>
    <w:rsid w:val="00C6524D"/>
    <w:rsid w:val="00C67EA7"/>
    <w:rsid w:val="00C7121E"/>
    <w:rsid w:val="00C728CC"/>
    <w:rsid w:val="00C73434"/>
    <w:rsid w:val="00C80123"/>
    <w:rsid w:val="00C80809"/>
    <w:rsid w:val="00C81344"/>
    <w:rsid w:val="00C81519"/>
    <w:rsid w:val="00C81D66"/>
    <w:rsid w:val="00C82F21"/>
    <w:rsid w:val="00C83676"/>
    <w:rsid w:val="00C849CA"/>
    <w:rsid w:val="00C857CA"/>
    <w:rsid w:val="00C9129E"/>
    <w:rsid w:val="00C97CE3"/>
    <w:rsid w:val="00CA1A79"/>
    <w:rsid w:val="00CA2D1D"/>
    <w:rsid w:val="00CA3F64"/>
    <w:rsid w:val="00CA6BF0"/>
    <w:rsid w:val="00CB08C1"/>
    <w:rsid w:val="00CB2367"/>
    <w:rsid w:val="00CC1E59"/>
    <w:rsid w:val="00CC20BA"/>
    <w:rsid w:val="00CC33BB"/>
    <w:rsid w:val="00CC4F80"/>
    <w:rsid w:val="00CD05F9"/>
    <w:rsid w:val="00CD1808"/>
    <w:rsid w:val="00CD2678"/>
    <w:rsid w:val="00CD728B"/>
    <w:rsid w:val="00CF155A"/>
    <w:rsid w:val="00D054E6"/>
    <w:rsid w:val="00D05544"/>
    <w:rsid w:val="00D05F18"/>
    <w:rsid w:val="00D06D19"/>
    <w:rsid w:val="00D1236C"/>
    <w:rsid w:val="00D149D7"/>
    <w:rsid w:val="00D1784D"/>
    <w:rsid w:val="00D20626"/>
    <w:rsid w:val="00D22A87"/>
    <w:rsid w:val="00D32AD9"/>
    <w:rsid w:val="00D47539"/>
    <w:rsid w:val="00D5124E"/>
    <w:rsid w:val="00D51DEB"/>
    <w:rsid w:val="00D577A2"/>
    <w:rsid w:val="00D60278"/>
    <w:rsid w:val="00D608C0"/>
    <w:rsid w:val="00D61934"/>
    <w:rsid w:val="00D635D7"/>
    <w:rsid w:val="00D63D31"/>
    <w:rsid w:val="00D653B8"/>
    <w:rsid w:val="00D715F1"/>
    <w:rsid w:val="00D71E39"/>
    <w:rsid w:val="00D73635"/>
    <w:rsid w:val="00D8184B"/>
    <w:rsid w:val="00D83E30"/>
    <w:rsid w:val="00D851BA"/>
    <w:rsid w:val="00D870DB"/>
    <w:rsid w:val="00D954FD"/>
    <w:rsid w:val="00D96BA2"/>
    <w:rsid w:val="00DA3585"/>
    <w:rsid w:val="00DA39A9"/>
    <w:rsid w:val="00DA6BB9"/>
    <w:rsid w:val="00DB0FCB"/>
    <w:rsid w:val="00DB490E"/>
    <w:rsid w:val="00DC0EC9"/>
    <w:rsid w:val="00DC0F68"/>
    <w:rsid w:val="00DC1C8C"/>
    <w:rsid w:val="00DC4098"/>
    <w:rsid w:val="00DC7731"/>
    <w:rsid w:val="00DD1440"/>
    <w:rsid w:val="00DD4F44"/>
    <w:rsid w:val="00DE27D2"/>
    <w:rsid w:val="00DE44DE"/>
    <w:rsid w:val="00DE496A"/>
    <w:rsid w:val="00DE67EF"/>
    <w:rsid w:val="00DE7561"/>
    <w:rsid w:val="00DE7EBA"/>
    <w:rsid w:val="00DF2FC1"/>
    <w:rsid w:val="00DF3FD4"/>
    <w:rsid w:val="00DF41FD"/>
    <w:rsid w:val="00DF43E3"/>
    <w:rsid w:val="00DF6D1D"/>
    <w:rsid w:val="00E11EB0"/>
    <w:rsid w:val="00E178F8"/>
    <w:rsid w:val="00E21215"/>
    <w:rsid w:val="00E234CB"/>
    <w:rsid w:val="00E25D67"/>
    <w:rsid w:val="00E2703B"/>
    <w:rsid w:val="00E2736F"/>
    <w:rsid w:val="00E32091"/>
    <w:rsid w:val="00E33569"/>
    <w:rsid w:val="00E4245F"/>
    <w:rsid w:val="00E45C35"/>
    <w:rsid w:val="00E46412"/>
    <w:rsid w:val="00E535EA"/>
    <w:rsid w:val="00E54B71"/>
    <w:rsid w:val="00E57235"/>
    <w:rsid w:val="00E61389"/>
    <w:rsid w:val="00E62041"/>
    <w:rsid w:val="00E63C25"/>
    <w:rsid w:val="00E6436D"/>
    <w:rsid w:val="00E64CC6"/>
    <w:rsid w:val="00E6725D"/>
    <w:rsid w:val="00E816D0"/>
    <w:rsid w:val="00E8237C"/>
    <w:rsid w:val="00E83E08"/>
    <w:rsid w:val="00E86F57"/>
    <w:rsid w:val="00E901BD"/>
    <w:rsid w:val="00E90251"/>
    <w:rsid w:val="00E92BB0"/>
    <w:rsid w:val="00EA091E"/>
    <w:rsid w:val="00EA143B"/>
    <w:rsid w:val="00EA59AC"/>
    <w:rsid w:val="00EA6CEE"/>
    <w:rsid w:val="00EB20EC"/>
    <w:rsid w:val="00EB52EB"/>
    <w:rsid w:val="00EC0A23"/>
    <w:rsid w:val="00ED1A22"/>
    <w:rsid w:val="00ED1FE5"/>
    <w:rsid w:val="00ED2225"/>
    <w:rsid w:val="00EE3307"/>
    <w:rsid w:val="00EE525B"/>
    <w:rsid w:val="00EE5A7A"/>
    <w:rsid w:val="00EF378B"/>
    <w:rsid w:val="00EF37DC"/>
    <w:rsid w:val="00EF6385"/>
    <w:rsid w:val="00EF7D13"/>
    <w:rsid w:val="00F0075B"/>
    <w:rsid w:val="00F07557"/>
    <w:rsid w:val="00F139BC"/>
    <w:rsid w:val="00F15164"/>
    <w:rsid w:val="00F21A03"/>
    <w:rsid w:val="00F225F3"/>
    <w:rsid w:val="00F25AF0"/>
    <w:rsid w:val="00F261F1"/>
    <w:rsid w:val="00F319FD"/>
    <w:rsid w:val="00F34201"/>
    <w:rsid w:val="00F36FBB"/>
    <w:rsid w:val="00F47EA4"/>
    <w:rsid w:val="00F506E1"/>
    <w:rsid w:val="00F524B5"/>
    <w:rsid w:val="00F531BC"/>
    <w:rsid w:val="00F572A2"/>
    <w:rsid w:val="00F60709"/>
    <w:rsid w:val="00F64958"/>
    <w:rsid w:val="00F653A3"/>
    <w:rsid w:val="00F655DD"/>
    <w:rsid w:val="00F72CB8"/>
    <w:rsid w:val="00F74BEB"/>
    <w:rsid w:val="00F75272"/>
    <w:rsid w:val="00F76271"/>
    <w:rsid w:val="00F76CBE"/>
    <w:rsid w:val="00F80960"/>
    <w:rsid w:val="00F848CB"/>
    <w:rsid w:val="00F90968"/>
    <w:rsid w:val="00F928C8"/>
    <w:rsid w:val="00FA3B8F"/>
    <w:rsid w:val="00FA4E0B"/>
    <w:rsid w:val="00FB3837"/>
    <w:rsid w:val="00FB5A0D"/>
    <w:rsid w:val="00FC16A3"/>
    <w:rsid w:val="00FC1871"/>
    <w:rsid w:val="00FC64CE"/>
    <w:rsid w:val="00FC7E1C"/>
    <w:rsid w:val="00FD12A9"/>
    <w:rsid w:val="00FD1952"/>
    <w:rsid w:val="00FE201A"/>
    <w:rsid w:val="00FE68F6"/>
    <w:rsid w:val="00FE7E27"/>
    <w:rsid w:val="00FF4D99"/>
    <w:rsid w:val="15A074FD"/>
    <w:rsid w:val="2B3A4882"/>
    <w:rsid w:val="39372003"/>
    <w:rsid w:val="709B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BA289-61E2-482C-88C4-5498EE71787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13291</Words>
  <Characters>13972</Characters>
  <Lines>107</Lines>
  <Paragraphs>30</Paragraphs>
  <TotalTime>18</TotalTime>
  <ScaleCrop>false</ScaleCrop>
  <LinksUpToDate>false</LinksUpToDate>
  <CharactersWithSpaces>14275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2023-03-03T08:53:00Z</dcterms:created>
  <dc:creator>DELL</dc:creator>
  <cp:lastModifiedBy>Administrator</cp:lastModifiedBy>
  <cp:lastPrinted>2023-06-05T01:40:09Z</cp:lastPrinted>
  <dcterms:modified xsi:type="dcterms:W3CDTF">2023-06-05T01:44:47Z</dcterms:modified>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2105416EB3F543168908EC7F240F844A</vt:lpwstr>
  </property>
</Properties>
</file>