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FAB13">
      <w:pPr>
        <w:pStyle w:val="24"/>
        <w:spacing w:line="360" w:lineRule="auto"/>
        <w:jc w:val="center"/>
        <w:rPr>
          <w:rFonts w:hint="eastAsia" w:asciiTheme="minorEastAsia" w:hAnsiTheme="minorEastAsia" w:eastAsiaTheme="minorEastAsia"/>
          <w:b/>
          <w:bCs/>
          <w:sz w:val="30"/>
          <w:szCs w:val="30"/>
          <w:highlight w:val="none"/>
          <w:lang w:eastAsia="zh-CN"/>
        </w:rPr>
      </w:pPr>
      <w:r>
        <w:rPr>
          <w:rFonts w:hint="eastAsia" w:asciiTheme="minorEastAsia" w:hAnsiTheme="minorEastAsia" w:eastAsiaTheme="minorEastAsia"/>
          <w:b/>
          <w:bCs/>
          <w:sz w:val="30"/>
          <w:szCs w:val="30"/>
          <w:highlight w:val="none"/>
          <w:lang w:eastAsia="zh-CN"/>
        </w:rPr>
        <w:t>中国-东盟医疗保健合作中心(广西)启用仪式会务服务</w:t>
      </w:r>
    </w:p>
    <w:p w14:paraId="478511B4">
      <w:pPr>
        <w:pStyle w:val="24"/>
        <w:spacing w:line="360" w:lineRule="auto"/>
        <w:jc w:val="center"/>
        <w:rPr>
          <w:rFonts w:asciiTheme="minorEastAsia" w:hAnsiTheme="minorEastAsia" w:eastAsiaTheme="minorEastAsia"/>
          <w:b/>
          <w:bCs/>
          <w:sz w:val="30"/>
          <w:szCs w:val="30"/>
          <w:highlight w:val="none"/>
          <w:lang w:val="zh-CN"/>
        </w:rPr>
      </w:pPr>
      <w:r>
        <w:rPr>
          <w:rFonts w:hint="eastAsia" w:asciiTheme="minorEastAsia" w:hAnsiTheme="minorEastAsia" w:eastAsiaTheme="minorEastAsia"/>
          <w:b/>
          <w:bCs/>
          <w:sz w:val="30"/>
          <w:szCs w:val="30"/>
          <w:highlight w:val="none"/>
          <w:lang w:val="zh-CN"/>
        </w:rPr>
        <w:t>采购需求</w:t>
      </w:r>
    </w:p>
    <w:p w14:paraId="347404D7">
      <w:pPr>
        <w:pStyle w:val="24"/>
        <w:spacing w:line="360" w:lineRule="auto"/>
        <w:rPr>
          <w:rFonts w:asciiTheme="minorEastAsia" w:hAnsiTheme="minorEastAsia" w:eastAsiaTheme="minorEastAsia"/>
          <w:szCs w:val="21"/>
          <w:highlight w:val="none"/>
          <w:lang w:val="zh-CN"/>
        </w:rPr>
      </w:pPr>
    </w:p>
    <w:p w14:paraId="42A77A3D">
      <w:pPr>
        <w:pStyle w:val="24"/>
        <w:spacing w:line="360" w:lineRule="auto"/>
        <w:rPr>
          <w:rFonts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一、项目概况</w:t>
      </w:r>
    </w:p>
    <w:p w14:paraId="7F799729">
      <w:pPr>
        <w:pStyle w:val="24"/>
        <w:numPr>
          <w:ilvl w:val="0"/>
          <w:numId w:val="1"/>
        </w:numPr>
        <w:spacing w:line="360" w:lineRule="auto"/>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预算价:249150元</w:t>
      </w:r>
    </w:p>
    <w:p w14:paraId="2276C36A">
      <w:pPr>
        <w:pStyle w:val="24"/>
        <w:numPr>
          <w:ilvl w:val="0"/>
          <w:numId w:val="1"/>
        </w:numPr>
        <w:spacing w:line="360" w:lineRule="auto"/>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服务期:</w:t>
      </w:r>
      <w:r>
        <w:rPr>
          <w:rFonts w:hint="eastAsia" w:ascii="仿宋" w:hAnsi="仿宋" w:eastAsia="仿宋" w:cs="仿宋"/>
          <w:sz w:val="28"/>
          <w:highlight w:val="none"/>
        </w:rPr>
        <w:t>15日</w:t>
      </w:r>
      <w:r>
        <w:rPr>
          <w:rFonts w:hint="eastAsia" w:ascii="仿宋" w:hAnsi="仿宋" w:eastAsia="仿宋" w:cs="仿宋"/>
          <w:sz w:val="28"/>
          <w:szCs w:val="28"/>
          <w:highlight w:val="none"/>
          <w:lang w:val="zh-CN"/>
        </w:rPr>
        <w:t>。</w:t>
      </w:r>
    </w:p>
    <w:p w14:paraId="0C200C5C">
      <w:pPr>
        <w:pStyle w:val="24"/>
        <w:spacing w:line="360" w:lineRule="auto"/>
        <w:rPr>
          <w:rFonts w:hint="eastAsia" w:ascii="仿宋" w:hAnsi="仿宋" w:eastAsia="仿宋" w:cs="仿宋"/>
          <w:sz w:val="28"/>
          <w:szCs w:val="28"/>
          <w:highlight w:val="none"/>
          <w:lang w:val="zh-CN"/>
        </w:rPr>
      </w:pPr>
      <w:r>
        <w:rPr>
          <w:rFonts w:hint="eastAsia" w:ascii="仿宋" w:hAnsi="仿宋" w:eastAsia="仿宋" w:cs="仿宋"/>
          <w:b/>
          <w:bCs/>
          <w:sz w:val="28"/>
          <w:szCs w:val="28"/>
          <w:highlight w:val="none"/>
          <w:lang w:val="zh-CN"/>
        </w:rPr>
        <w:t>二、供应商资格要求</w:t>
      </w:r>
    </w:p>
    <w:p w14:paraId="6BBE6E2B">
      <w:pPr>
        <w:pStyle w:val="24"/>
        <w:spacing w:line="360" w:lineRule="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1.参与供应商必须具有独立承担民事责任的能力，具有有效的《营业执照》，市场监督管理部门有特定资格要求的，应满足特定资格要求；</w:t>
      </w:r>
    </w:p>
    <w:p w14:paraId="6F380B92">
      <w:pPr>
        <w:pStyle w:val="24"/>
        <w:spacing w:line="360" w:lineRule="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2.对在“信用中国”网站(www.creditchina.gov.cn)、中国政府采购网(www.ccgp.gov.cn)等渠道列入失信被执行人、重大税收违法案件当事人名单、政府采购严重违法失信行为记录名单的供应商，将被拒绝参与本次比选活动。</w:t>
      </w:r>
    </w:p>
    <w:p w14:paraId="611C0C47">
      <w:pPr>
        <w:pStyle w:val="24"/>
        <w:spacing w:line="360" w:lineRule="auto"/>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3.不接受联合体参与。</w:t>
      </w:r>
    </w:p>
    <w:p w14:paraId="6DEA4261">
      <w:pPr>
        <w:tabs>
          <w:tab w:val="left" w:pos="180"/>
          <w:tab w:val="left" w:pos="1620"/>
        </w:tabs>
        <w:spacing w:line="360" w:lineRule="auto"/>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三、服务要求：</w:t>
      </w:r>
    </w:p>
    <w:p w14:paraId="20A8A37E">
      <w:pPr>
        <w:spacing w:line="420" w:lineRule="exact"/>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sz w:val="28"/>
          <w:szCs w:val="28"/>
          <w:highlight w:val="none"/>
        </w:rPr>
        <w:t>提供会务服务，</w:t>
      </w:r>
      <w:r>
        <w:rPr>
          <w:rFonts w:hint="eastAsia" w:ascii="仿宋" w:hAnsi="仿宋" w:eastAsia="仿宋" w:cs="仿宋"/>
          <w:bCs/>
          <w:sz w:val="28"/>
          <w:szCs w:val="28"/>
          <w:highlight w:val="none"/>
          <w:lang w:eastAsia="zh-CN"/>
        </w:rPr>
        <w:t>完成</w:t>
      </w:r>
      <w:r>
        <w:rPr>
          <w:rFonts w:hint="eastAsia" w:ascii="仿宋" w:hAnsi="仿宋" w:eastAsia="仿宋" w:cs="仿宋"/>
          <w:bCs/>
          <w:sz w:val="28"/>
          <w:szCs w:val="28"/>
          <w:highlight w:val="none"/>
        </w:rPr>
        <w:t>启用庆典活动，</w:t>
      </w:r>
      <w:r>
        <w:rPr>
          <w:rFonts w:hint="eastAsia" w:ascii="仿宋" w:hAnsi="仿宋" w:eastAsia="仿宋" w:cs="仿宋"/>
          <w:bCs/>
          <w:color w:val="auto"/>
          <w:sz w:val="28"/>
          <w:szCs w:val="28"/>
          <w:highlight w:val="none"/>
        </w:rPr>
        <w:t>具体要求详见报价清单。中国-东盟医疗保健合作中心（广西）作为自治区党委和政府的重点工程建设项目，是我院落实国家“一带一路”建设的重要举措，也是我院“十四五”规划发展战略落地的实体支撑。做好中国-东盟医疗保健合作中心（广西）开业仪式活动对于进一步提升我院形象、提升国际国内影响力意义重大。</w:t>
      </w:r>
      <w:r>
        <w:rPr>
          <w:rFonts w:hint="eastAsia" w:ascii="仿宋" w:hAnsi="仿宋" w:eastAsia="仿宋" w:cs="仿宋"/>
          <w:bCs/>
          <w:color w:val="auto"/>
          <w:sz w:val="28"/>
          <w:szCs w:val="28"/>
          <w:highlight w:val="none"/>
          <w:lang w:eastAsia="zh-CN"/>
        </w:rPr>
        <w:t>要求</w:t>
      </w:r>
      <w:r>
        <w:rPr>
          <w:rFonts w:hint="eastAsia" w:ascii="仿宋" w:hAnsi="仿宋" w:eastAsia="仿宋" w:cs="仿宋"/>
          <w:bCs/>
          <w:color w:val="auto"/>
          <w:sz w:val="28"/>
          <w:szCs w:val="28"/>
          <w:highlight w:val="none"/>
        </w:rPr>
        <w:t>针对异常行为监测系统的软硬件配备</w:t>
      </w:r>
      <w:r>
        <w:rPr>
          <w:rFonts w:hint="eastAsia" w:ascii="仿宋" w:hAnsi="仿宋" w:eastAsia="仿宋" w:cs="仿宋"/>
          <w:bCs/>
          <w:color w:val="auto"/>
          <w:sz w:val="28"/>
          <w:szCs w:val="28"/>
          <w:highlight w:val="none"/>
          <w:lang w:eastAsia="zh-CN"/>
        </w:rPr>
        <w:t>，要求对会务</w:t>
      </w:r>
      <w:r>
        <w:rPr>
          <w:rFonts w:hint="eastAsia" w:ascii="仿宋" w:hAnsi="仿宋" w:eastAsia="仿宋" w:cs="仿宋"/>
          <w:bCs/>
          <w:color w:val="auto"/>
          <w:sz w:val="28"/>
          <w:szCs w:val="28"/>
          <w:highlight w:val="none"/>
        </w:rPr>
        <w:t>活动</w:t>
      </w:r>
      <w:r>
        <w:rPr>
          <w:rFonts w:hint="eastAsia" w:ascii="仿宋" w:hAnsi="仿宋" w:eastAsia="仿宋" w:cs="仿宋"/>
          <w:bCs/>
          <w:color w:val="auto"/>
          <w:sz w:val="28"/>
          <w:szCs w:val="28"/>
          <w:highlight w:val="none"/>
          <w:lang w:eastAsia="zh-CN"/>
        </w:rPr>
        <w:t>进行</w:t>
      </w:r>
      <w:r>
        <w:rPr>
          <w:rFonts w:hint="eastAsia" w:ascii="仿宋" w:hAnsi="仿宋" w:eastAsia="仿宋" w:cs="仿宋"/>
          <w:bCs/>
          <w:color w:val="auto"/>
          <w:sz w:val="28"/>
          <w:szCs w:val="28"/>
          <w:highlight w:val="none"/>
        </w:rPr>
        <w:t>异常行为监测</w:t>
      </w:r>
      <w:r>
        <w:rPr>
          <w:rFonts w:hint="eastAsia" w:ascii="仿宋" w:hAnsi="仿宋" w:eastAsia="仿宋" w:cs="仿宋"/>
          <w:bCs/>
          <w:color w:val="auto"/>
          <w:sz w:val="28"/>
          <w:szCs w:val="28"/>
          <w:highlight w:val="none"/>
          <w:lang w:eastAsia="zh-CN"/>
        </w:rPr>
        <w:t>。</w:t>
      </w:r>
    </w:p>
    <w:p w14:paraId="3108D513">
      <w:pPr>
        <w:spacing w:line="42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活动主题：携手共建健康丝路，共享</w:t>
      </w:r>
      <w:r>
        <w:rPr>
          <w:rFonts w:hint="eastAsia" w:ascii="仿宋" w:hAnsi="仿宋" w:eastAsia="仿宋" w:cs="仿宋"/>
          <w:bCs/>
          <w:color w:val="auto"/>
          <w:sz w:val="28"/>
          <w:szCs w:val="28"/>
          <w:highlight w:val="none"/>
          <w:lang w:val="en-US" w:eastAsia="zh-CN"/>
        </w:rPr>
        <w:t>优质</w:t>
      </w:r>
      <w:r>
        <w:rPr>
          <w:rFonts w:hint="eastAsia" w:ascii="仿宋" w:hAnsi="仿宋" w:eastAsia="仿宋" w:cs="仿宋"/>
          <w:bCs/>
          <w:color w:val="auto"/>
          <w:sz w:val="28"/>
          <w:szCs w:val="28"/>
          <w:highlight w:val="none"/>
        </w:rPr>
        <w:t>医疗未来</w:t>
      </w:r>
    </w:p>
    <w:p w14:paraId="4A90BB01">
      <w:pPr>
        <w:tabs>
          <w:tab w:val="left" w:pos="180"/>
          <w:tab w:val="left" w:pos="1620"/>
        </w:tabs>
        <w:spacing w:line="360" w:lineRule="auto"/>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四、商务条款:</w:t>
      </w:r>
    </w:p>
    <w:p w14:paraId="2CFAC4DD">
      <w:pPr>
        <w:numPr>
          <w:ilvl w:val="0"/>
          <w:numId w:val="2"/>
        </w:numPr>
        <w:spacing w:line="360" w:lineRule="auto"/>
        <w:jc w:val="left"/>
        <w:rPr>
          <w:rFonts w:ascii="仿宋" w:hAnsi="仿宋" w:eastAsia="仿宋" w:cs="仿宋"/>
          <w:sz w:val="28"/>
          <w:szCs w:val="28"/>
          <w:highlight w:val="none"/>
          <w:u w:val="single"/>
        </w:rPr>
      </w:pPr>
      <w:r>
        <w:rPr>
          <w:rFonts w:hint="eastAsia" w:ascii="仿宋" w:hAnsi="仿宋" w:eastAsia="仿宋" w:cs="仿宋"/>
          <w:sz w:val="28"/>
          <w:szCs w:val="28"/>
          <w:highlight w:val="none"/>
        </w:rPr>
        <w:t>付款方式:无预付款，供应商完成服务后根据服务清单进行结算，供应商开具有效票据，并提供付款材料至采购人，采购人自材料审核完成之日起</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个工作日内将费用汇至供应商指定账户。</w:t>
      </w:r>
    </w:p>
    <w:p w14:paraId="58BFA9FE">
      <w:pPr>
        <w:numPr>
          <w:ilvl w:val="0"/>
          <w:numId w:val="2"/>
        </w:num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验收标准：符合现行国家相关标准、行业标准、地方标准或者其他标准、规范。</w:t>
      </w:r>
    </w:p>
    <w:p w14:paraId="43120C1B">
      <w:pPr>
        <w:tabs>
          <w:tab w:val="left" w:pos="180"/>
          <w:tab w:val="left" w:pos="1620"/>
        </w:tabs>
        <w:spacing w:line="360" w:lineRule="auto"/>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五、采购人联系方式</w:t>
      </w:r>
    </w:p>
    <w:p w14:paraId="2F9D347F">
      <w:pPr>
        <w:pStyle w:val="13"/>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名称：广西医科大学第一附属医院</w:t>
      </w:r>
    </w:p>
    <w:p w14:paraId="7B60B80D">
      <w:pPr>
        <w:pStyle w:val="13"/>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地址：广西南宁市双拥路6号</w:t>
      </w:r>
    </w:p>
    <w:p w14:paraId="76C9AED2">
      <w:pPr>
        <w:pStyle w:val="13"/>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联系方式：</w:t>
      </w:r>
      <w:r>
        <w:rPr>
          <w:rFonts w:hint="eastAsia" w:ascii="仿宋" w:hAnsi="仿宋" w:eastAsia="仿宋" w:cs="仿宋"/>
          <w:sz w:val="28"/>
          <w:highlight w:val="none"/>
        </w:rPr>
        <w:t>黄工，</w:t>
      </w:r>
      <w:r>
        <w:rPr>
          <w:rFonts w:ascii="仿宋" w:hAnsi="仿宋" w:eastAsia="仿宋" w:cs="仿宋"/>
          <w:sz w:val="28"/>
          <w:highlight w:val="none"/>
        </w:rPr>
        <w:t>0771-5356589</w:t>
      </w:r>
    </w:p>
    <w:p w14:paraId="6472F345">
      <w:pPr>
        <w:spacing w:after="120" w:line="360" w:lineRule="auto"/>
        <w:rPr>
          <w:rFonts w:ascii="仿宋" w:hAnsi="仿宋" w:eastAsia="仿宋" w:cs="仿宋"/>
          <w:b/>
          <w:bCs/>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F7E4724">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报价材料要求</w:t>
      </w:r>
    </w:p>
    <w:p w14:paraId="6FD9D0E5">
      <w:pPr>
        <w:pStyle w:val="18"/>
        <w:spacing w:line="360" w:lineRule="auto"/>
        <w:ind w:firstLine="562"/>
        <w:rPr>
          <w:rFonts w:ascii="仿宋" w:hAnsi="仿宋" w:eastAsia="仿宋" w:cs="仿宋"/>
          <w:b/>
          <w:szCs w:val="28"/>
          <w:highlight w:val="none"/>
        </w:rPr>
      </w:pPr>
    </w:p>
    <w:p w14:paraId="64AFCE1F">
      <w:pPr>
        <w:pStyle w:val="18"/>
        <w:spacing w:line="360" w:lineRule="auto"/>
        <w:ind w:firstLine="560"/>
        <w:jc w:val="left"/>
        <w:rPr>
          <w:rFonts w:ascii="仿宋" w:hAnsi="仿宋" w:eastAsia="仿宋" w:cs="仿宋"/>
          <w:bCs/>
          <w:szCs w:val="28"/>
          <w:highlight w:val="none"/>
        </w:rPr>
      </w:pPr>
      <w:r>
        <w:rPr>
          <w:rFonts w:hint="eastAsia" w:ascii="仿宋" w:hAnsi="仿宋" w:eastAsia="仿宋" w:cs="仿宋"/>
          <w:bCs/>
          <w:szCs w:val="28"/>
          <w:highlight w:val="none"/>
        </w:rPr>
        <w:t>1.营业执照复印件</w:t>
      </w:r>
    </w:p>
    <w:p w14:paraId="27FD14C2">
      <w:pPr>
        <w:pStyle w:val="18"/>
        <w:spacing w:line="360" w:lineRule="auto"/>
        <w:ind w:firstLine="560"/>
        <w:jc w:val="left"/>
        <w:rPr>
          <w:rFonts w:ascii="仿宋" w:hAnsi="仿宋" w:eastAsia="仿宋" w:cs="仿宋"/>
          <w:bCs/>
          <w:szCs w:val="28"/>
          <w:highlight w:val="none"/>
        </w:rPr>
      </w:pPr>
      <w:r>
        <w:rPr>
          <w:rFonts w:hint="eastAsia" w:ascii="仿宋" w:hAnsi="仿宋" w:eastAsia="仿宋" w:cs="仿宋"/>
          <w:bCs/>
          <w:szCs w:val="28"/>
          <w:highlight w:val="none"/>
        </w:rPr>
        <w:t>2.法定代表人身份证明或法人授权委托书及被授权人身份证明和联系方式；</w:t>
      </w:r>
    </w:p>
    <w:p w14:paraId="3F9B8521">
      <w:pPr>
        <w:pStyle w:val="18"/>
        <w:spacing w:line="360" w:lineRule="auto"/>
        <w:ind w:firstLine="560"/>
        <w:jc w:val="left"/>
        <w:rPr>
          <w:rFonts w:ascii="仿宋" w:hAnsi="仿宋" w:eastAsia="仿宋" w:cs="仿宋"/>
          <w:bCs/>
          <w:szCs w:val="28"/>
          <w:highlight w:val="none"/>
        </w:rPr>
      </w:pPr>
      <w:r>
        <w:rPr>
          <w:rFonts w:hint="eastAsia" w:ascii="仿宋" w:hAnsi="仿宋" w:eastAsia="仿宋" w:cs="仿宋"/>
          <w:bCs/>
          <w:szCs w:val="28"/>
          <w:highlight w:val="none"/>
        </w:rPr>
        <w:t>3.报价表【报价不得高于预算价，仅一次报价】；</w:t>
      </w:r>
    </w:p>
    <w:p w14:paraId="41D8E5B8">
      <w:pPr>
        <w:pStyle w:val="18"/>
        <w:spacing w:line="360" w:lineRule="auto"/>
        <w:ind w:firstLine="560"/>
        <w:jc w:val="left"/>
        <w:rPr>
          <w:rFonts w:ascii="仿宋" w:hAnsi="仿宋" w:eastAsia="仿宋" w:cs="仿宋"/>
          <w:bCs/>
          <w:szCs w:val="28"/>
          <w:highlight w:val="none"/>
        </w:rPr>
      </w:pPr>
      <w:r>
        <w:rPr>
          <w:rFonts w:hint="eastAsia" w:ascii="仿宋" w:hAnsi="仿宋" w:eastAsia="仿宋" w:cs="仿宋"/>
          <w:bCs/>
          <w:szCs w:val="28"/>
          <w:highlight w:val="none"/>
        </w:rPr>
        <w:t>4.声明函、公司直接控股股东信息表、公司直接管理关系信息表</w:t>
      </w:r>
    </w:p>
    <w:p w14:paraId="5DC12CC3">
      <w:pPr>
        <w:pStyle w:val="18"/>
        <w:spacing w:line="360" w:lineRule="auto"/>
        <w:ind w:firstLine="560"/>
        <w:jc w:val="left"/>
        <w:rPr>
          <w:rFonts w:ascii="仿宋" w:hAnsi="仿宋" w:eastAsia="仿宋" w:cs="仿宋"/>
          <w:bCs/>
          <w:szCs w:val="28"/>
          <w:highlight w:val="none"/>
        </w:rPr>
      </w:pPr>
      <w:r>
        <w:rPr>
          <w:rFonts w:hint="eastAsia" w:ascii="仿宋" w:hAnsi="仿宋" w:eastAsia="仿宋" w:cs="仿宋"/>
          <w:bCs/>
          <w:szCs w:val="28"/>
          <w:highlight w:val="none"/>
        </w:rPr>
        <w:t>5.供应商自行根据评标方案提供评审资料。</w:t>
      </w:r>
    </w:p>
    <w:p w14:paraId="028E291E">
      <w:pPr>
        <w:pStyle w:val="18"/>
        <w:spacing w:line="360" w:lineRule="auto"/>
        <w:ind w:firstLine="562"/>
        <w:jc w:val="left"/>
        <w:rPr>
          <w:rFonts w:ascii="仿宋" w:hAnsi="仿宋" w:eastAsia="仿宋" w:cs="仿宋"/>
          <w:b/>
          <w:szCs w:val="28"/>
          <w:highlight w:val="none"/>
        </w:rPr>
      </w:pPr>
      <w:r>
        <w:rPr>
          <w:rFonts w:hint="eastAsia" w:ascii="仿宋" w:hAnsi="仿宋" w:eastAsia="仿宋" w:cs="仿宋"/>
          <w:b/>
          <w:szCs w:val="28"/>
          <w:highlight w:val="none"/>
        </w:rPr>
        <w:t>以上材料必须提交。</w:t>
      </w:r>
    </w:p>
    <w:p w14:paraId="4E3E1FE5">
      <w:pPr>
        <w:ind w:firstLine="560" w:firstLineChars="200"/>
        <w:rPr>
          <w:rFonts w:ascii="仿宋" w:hAnsi="仿宋" w:eastAsia="仿宋" w:cs="仿宋"/>
          <w:bCs/>
          <w:sz w:val="28"/>
          <w:szCs w:val="28"/>
          <w:highlight w:val="none"/>
        </w:rPr>
        <w:sectPr>
          <w:footerReference r:id="rId3" w:type="default"/>
          <w:pgSz w:w="11906" w:h="16838"/>
          <w:pgMar w:top="1418" w:right="1555" w:bottom="1418" w:left="1531" w:header="851" w:footer="992" w:gutter="0"/>
          <w:pgBorders>
            <w:top w:val="none" w:sz="0" w:space="0"/>
            <w:left w:val="none" w:sz="0" w:space="0"/>
            <w:bottom w:val="none" w:sz="0" w:space="0"/>
            <w:right w:val="none" w:sz="0" w:space="0"/>
          </w:pgBorders>
          <w:pgNumType w:start="0"/>
          <w:cols w:space="720" w:num="1"/>
          <w:titlePg/>
          <w:docGrid w:type="lines" w:linePitch="312" w:charSpace="0"/>
        </w:sectPr>
      </w:pPr>
      <w:r>
        <w:rPr>
          <w:rFonts w:hint="eastAsia" w:ascii="仿宋" w:hAnsi="仿宋" w:eastAsia="仿宋" w:cs="仿宋"/>
          <w:bCs/>
          <w:sz w:val="28"/>
          <w:szCs w:val="28"/>
          <w:highlight w:val="none"/>
        </w:rPr>
        <w:t>备注：资料要求密封并加盖单位公章，所提交资料恕不退回，请按要求准备文件，如未按要求提供资料，视为不能响应需求。提交时间为202</w:t>
      </w:r>
      <w:r>
        <w:rPr>
          <w:rFonts w:hint="eastAsia" w:ascii="仿宋" w:hAnsi="仿宋" w:eastAsia="仿宋" w:cs="仿宋"/>
          <w:bCs/>
          <w:sz w:val="28"/>
          <w:szCs w:val="28"/>
          <w:highlight w:val="none"/>
          <w:lang w:val="en-US" w:eastAsia="zh-CN"/>
        </w:rPr>
        <w:t>5</w:t>
      </w:r>
      <w:r>
        <w:rPr>
          <w:rFonts w:hint="eastAsia" w:ascii="仿宋" w:hAnsi="仿宋" w:eastAsia="仿宋" w:cs="仿宋"/>
          <w:bCs/>
          <w:sz w:val="28"/>
          <w:szCs w:val="28"/>
          <w:highlight w:val="none"/>
        </w:rPr>
        <w:t>年</w:t>
      </w:r>
      <w:r>
        <w:rPr>
          <w:rFonts w:hint="eastAsia" w:ascii="仿宋" w:hAnsi="仿宋" w:eastAsia="仿宋" w:cs="仿宋"/>
          <w:bCs/>
          <w:sz w:val="28"/>
          <w:szCs w:val="28"/>
          <w:highlight w:val="none"/>
          <w:lang w:val="en-US" w:eastAsia="zh-CN"/>
        </w:rPr>
        <w:t>7</w:t>
      </w:r>
      <w:r>
        <w:rPr>
          <w:rFonts w:hint="eastAsia" w:ascii="仿宋" w:hAnsi="仿宋" w:eastAsia="仿宋" w:cs="仿宋"/>
          <w:bCs/>
          <w:sz w:val="28"/>
          <w:szCs w:val="28"/>
          <w:highlight w:val="none"/>
        </w:rPr>
        <w:t>月</w:t>
      </w:r>
      <w:r>
        <w:rPr>
          <w:rFonts w:hint="eastAsia" w:ascii="仿宋" w:hAnsi="仿宋" w:eastAsia="仿宋" w:cs="仿宋"/>
          <w:bCs/>
          <w:sz w:val="28"/>
          <w:szCs w:val="28"/>
          <w:highlight w:val="none"/>
          <w:lang w:val="en-US" w:eastAsia="zh-CN"/>
        </w:rPr>
        <w:t>24</w:t>
      </w:r>
      <w:bookmarkStart w:id="0" w:name="_GoBack"/>
      <w:bookmarkEnd w:id="0"/>
      <w:r>
        <w:rPr>
          <w:rFonts w:hint="eastAsia" w:ascii="仿宋" w:hAnsi="仿宋" w:eastAsia="仿宋" w:cs="仿宋"/>
          <w:bCs/>
          <w:sz w:val="28"/>
          <w:szCs w:val="28"/>
          <w:highlight w:val="none"/>
        </w:rPr>
        <w:t>日上午8:00—9:00，逾期不予受理（可提前提交）。递交或邮寄地址：广西南宁市青秀区中山街道广西医科大学附属小学正门，黄工</w:t>
      </w:r>
      <w:r>
        <w:rPr>
          <w:rFonts w:ascii="仿宋" w:hAnsi="仿宋" w:eastAsia="仿宋" w:cs="仿宋"/>
          <w:bCs/>
          <w:sz w:val="28"/>
          <w:szCs w:val="28"/>
          <w:highlight w:val="none"/>
        </w:rPr>
        <w:t>0771-5356589</w:t>
      </w:r>
      <w:r>
        <w:rPr>
          <w:rFonts w:hint="eastAsia" w:ascii="仿宋" w:hAnsi="仿宋" w:eastAsia="仿宋" w:cs="仿宋"/>
          <w:bCs/>
          <w:sz w:val="28"/>
          <w:szCs w:val="28"/>
          <w:highlight w:val="none"/>
        </w:rPr>
        <w:t>。</w:t>
      </w:r>
    </w:p>
    <w:tbl>
      <w:tblPr>
        <w:tblStyle w:val="19"/>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0"/>
        <w:gridCol w:w="981"/>
        <w:gridCol w:w="5965"/>
        <w:gridCol w:w="304"/>
        <w:gridCol w:w="310"/>
        <w:gridCol w:w="409"/>
        <w:gridCol w:w="410"/>
        <w:gridCol w:w="281"/>
      </w:tblGrid>
      <w:tr w14:paraId="49E9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0" w:type="auto"/>
            <w:gridSpan w:val="8"/>
            <w:shd w:val="clear" w:color="auto" w:fill="auto"/>
            <w:vAlign w:val="center"/>
          </w:tcPr>
          <w:p w14:paraId="0A5BD98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报价清单</w:t>
            </w:r>
          </w:p>
        </w:tc>
      </w:tr>
      <w:tr w14:paraId="0EDB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shd w:val="clear" w:color="auto" w:fill="auto"/>
            <w:vAlign w:val="center"/>
          </w:tcPr>
          <w:p w14:paraId="3F86B7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shd w:val="clear" w:color="auto" w:fill="auto"/>
            <w:vAlign w:val="center"/>
          </w:tcPr>
          <w:p w14:paraId="02EB91E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项目内容或名称</w:t>
            </w:r>
          </w:p>
        </w:tc>
        <w:tc>
          <w:tcPr>
            <w:tcW w:w="0" w:type="auto"/>
            <w:shd w:val="clear" w:color="auto" w:fill="auto"/>
            <w:vAlign w:val="center"/>
          </w:tcPr>
          <w:p w14:paraId="5EA0EEA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技术参数要求</w:t>
            </w:r>
          </w:p>
        </w:tc>
        <w:tc>
          <w:tcPr>
            <w:tcW w:w="0" w:type="auto"/>
            <w:shd w:val="clear" w:color="auto" w:fill="auto"/>
            <w:vAlign w:val="center"/>
          </w:tcPr>
          <w:p w14:paraId="7DB3E37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0" w:type="auto"/>
            <w:shd w:val="clear" w:color="auto" w:fill="auto"/>
            <w:vAlign w:val="center"/>
          </w:tcPr>
          <w:p w14:paraId="0A8711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0" w:type="auto"/>
            <w:shd w:val="clear" w:color="auto" w:fill="auto"/>
            <w:vAlign w:val="center"/>
          </w:tcPr>
          <w:p w14:paraId="7D92317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0" w:type="auto"/>
            <w:shd w:val="clear" w:color="auto" w:fill="auto"/>
            <w:vAlign w:val="center"/>
          </w:tcPr>
          <w:p w14:paraId="78D1348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总价（元）</w:t>
            </w:r>
          </w:p>
        </w:tc>
        <w:tc>
          <w:tcPr>
            <w:tcW w:w="0" w:type="auto"/>
            <w:shd w:val="clear" w:color="auto" w:fill="auto"/>
            <w:vAlign w:val="center"/>
          </w:tcPr>
          <w:p w14:paraId="30D81EF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3847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gridSpan w:val="8"/>
            <w:shd w:val="clear" w:color="auto" w:fill="auto"/>
            <w:vAlign w:val="center"/>
          </w:tcPr>
          <w:p w14:paraId="14B0AF4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主舞台区</w:t>
            </w:r>
          </w:p>
        </w:tc>
      </w:tr>
      <w:tr w14:paraId="0E8D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0" w:type="auto"/>
            <w:shd w:val="clear" w:color="auto" w:fill="auto"/>
            <w:noWrap/>
            <w:vAlign w:val="center"/>
          </w:tcPr>
          <w:p w14:paraId="684E5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14:paraId="4A8501E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主背景led显示屏</w:t>
            </w:r>
          </w:p>
        </w:tc>
        <w:tc>
          <w:tcPr>
            <w:tcW w:w="0" w:type="auto"/>
            <w:shd w:val="clear" w:color="auto" w:fill="auto"/>
            <w:vAlign w:val="center"/>
          </w:tcPr>
          <w:p w14:paraId="465ACD9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（1）规格：长14m*高4m；P4高清户外LED显示屏，分辨率3584*1024，亮度：5000-10000尼特；刷新率：≥3840Hz；对比度：≥3000:1；视角：≥160°。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（2）材质：钢结构立体支撑架+喷绘画面围挡，配备专业调试及视频播放服务；</w:t>
            </w:r>
          </w:p>
        </w:tc>
        <w:tc>
          <w:tcPr>
            <w:tcW w:w="0" w:type="auto"/>
            <w:shd w:val="clear" w:color="auto" w:fill="auto"/>
            <w:vAlign w:val="center"/>
          </w:tcPr>
          <w:p w14:paraId="544BD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shd w:val="clear" w:color="auto" w:fill="auto"/>
            <w:noWrap/>
            <w:vAlign w:val="center"/>
          </w:tcPr>
          <w:p w14:paraId="468F3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shd w:val="clear" w:color="auto" w:fill="auto"/>
            <w:vAlign w:val="center"/>
          </w:tcPr>
          <w:p w14:paraId="1253B027">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68BBB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750EF55B">
            <w:pPr>
              <w:jc w:val="center"/>
              <w:rPr>
                <w:rFonts w:hint="eastAsia" w:ascii="宋体" w:hAnsi="宋体" w:eastAsia="宋体" w:cs="宋体"/>
                <w:i w:val="0"/>
                <w:iCs w:val="0"/>
                <w:color w:val="000000"/>
                <w:sz w:val="22"/>
                <w:szCs w:val="22"/>
                <w:u w:val="none"/>
              </w:rPr>
            </w:pPr>
          </w:p>
        </w:tc>
      </w:tr>
      <w:tr w14:paraId="5790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0" w:type="auto"/>
            <w:shd w:val="clear" w:color="auto" w:fill="auto"/>
            <w:noWrap/>
            <w:vAlign w:val="center"/>
          </w:tcPr>
          <w:p w14:paraId="0E0AF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14:paraId="790D7EB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音响设备</w:t>
            </w:r>
          </w:p>
        </w:tc>
        <w:tc>
          <w:tcPr>
            <w:tcW w:w="0" w:type="auto"/>
            <w:shd w:val="clear" w:color="auto" w:fill="auto"/>
            <w:vAlign w:val="center"/>
          </w:tcPr>
          <w:p w14:paraId="248020D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（1）规格：主扩音箱：12寸全频音箱×8只，低频音箱：18寸超低音×4只，舞台监听：12寸返送音箱×2只；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（2）专业级线阵音响系统，防水设计，配套功放器、数字调音台、无线麦克风及配套线材；</w:t>
            </w:r>
          </w:p>
        </w:tc>
        <w:tc>
          <w:tcPr>
            <w:tcW w:w="0" w:type="auto"/>
            <w:shd w:val="clear" w:color="auto" w:fill="auto"/>
            <w:vAlign w:val="center"/>
          </w:tcPr>
          <w:p w14:paraId="777D2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shd w:val="clear" w:color="auto" w:fill="auto"/>
            <w:noWrap/>
            <w:vAlign w:val="center"/>
          </w:tcPr>
          <w:p w14:paraId="454D8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shd w:val="clear" w:color="auto" w:fill="auto"/>
            <w:vAlign w:val="center"/>
          </w:tcPr>
          <w:p w14:paraId="5A87CB60">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7D2F0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2039FB34">
            <w:pPr>
              <w:jc w:val="center"/>
              <w:rPr>
                <w:rFonts w:hint="eastAsia" w:ascii="宋体" w:hAnsi="宋体" w:eastAsia="宋体" w:cs="宋体"/>
                <w:i w:val="0"/>
                <w:iCs w:val="0"/>
                <w:color w:val="000000"/>
                <w:sz w:val="22"/>
                <w:szCs w:val="22"/>
                <w:u w:val="none"/>
              </w:rPr>
            </w:pPr>
          </w:p>
        </w:tc>
      </w:tr>
      <w:tr w14:paraId="2517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0" w:type="auto"/>
            <w:shd w:val="clear" w:color="auto" w:fill="auto"/>
            <w:noWrap/>
            <w:vAlign w:val="center"/>
          </w:tcPr>
          <w:p w14:paraId="165B8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noWrap/>
            <w:vAlign w:val="center"/>
          </w:tcPr>
          <w:p w14:paraId="296FC04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舞台搭建</w:t>
            </w:r>
          </w:p>
        </w:tc>
        <w:tc>
          <w:tcPr>
            <w:tcW w:w="0" w:type="auto"/>
            <w:shd w:val="clear" w:color="auto" w:fill="auto"/>
            <w:vAlign w:val="center"/>
          </w:tcPr>
          <w:p w14:paraId="0FFB402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（1）规格：舞台台架长15m*宽4m*高0.8m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（2）阶梯式钢结构框架，防火、防滑舞台面板并铺红地毯，现场安装搭建及安全防护；</w:t>
            </w:r>
          </w:p>
        </w:tc>
        <w:tc>
          <w:tcPr>
            <w:tcW w:w="0" w:type="auto"/>
            <w:shd w:val="clear" w:color="auto" w:fill="auto"/>
            <w:vAlign w:val="center"/>
          </w:tcPr>
          <w:p w14:paraId="40381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shd w:val="clear" w:color="auto" w:fill="auto"/>
            <w:noWrap/>
            <w:vAlign w:val="center"/>
          </w:tcPr>
          <w:p w14:paraId="3B20B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shd w:val="clear" w:color="auto" w:fill="auto"/>
            <w:vAlign w:val="center"/>
          </w:tcPr>
          <w:p w14:paraId="7AFF32A8">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44D36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7595BFE7">
            <w:pPr>
              <w:jc w:val="center"/>
              <w:rPr>
                <w:rFonts w:hint="eastAsia" w:ascii="宋体" w:hAnsi="宋体" w:eastAsia="宋体" w:cs="宋体"/>
                <w:i w:val="0"/>
                <w:iCs w:val="0"/>
                <w:color w:val="000000"/>
                <w:sz w:val="22"/>
                <w:szCs w:val="22"/>
                <w:u w:val="none"/>
              </w:rPr>
            </w:pPr>
          </w:p>
        </w:tc>
      </w:tr>
      <w:tr w14:paraId="31C3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0" w:type="auto"/>
            <w:shd w:val="clear" w:color="auto" w:fill="auto"/>
            <w:noWrap/>
            <w:vAlign w:val="center"/>
          </w:tcPr>
          <w:p w14:paraId="64618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noWrap/>
            <w:vAlign w:val="center"/>
          </w:tcPr>
          <w:p w14:paraId="431790E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红地毯</w:t>
            </w:r>
          </w:p>
        </w:tc>
        <w:tc>
          <w:tcPr>
            <w:tcW w:w="0" w:type="auto"/>
            <w:shd w:val="clear" w:color="auto" w:fill="auto"/>
            <w:noWrap/>
            <w:vAlign w:val="center"/>
          </w:tcPr>
          <w:p w14:paraId="29F9F45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加厚红地毯，覆盖入口处，舞台及座位区等，边缘包边处理；</w:t>
            </w:r>
          </w:p>
        </w:tc>
        <w:tc>
          <w:tcPr>
            <w:tcW w:w="0" w:type="auto"/>
            <w:shd w:val="clear" w:color="auto" w:fill="auto"/>
            <w:vAlign w:val="center"/>
          </w:tcPr>
          <w:p w14:paraId="69F55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0" w:type="auto"/>
            <w:shd w:val="clear" w:color="auto" w:fill="auto"/>
            <w:noWrap/>
            <w:vAlign w:val="center"/>
          </w:tcPr>
          <w:p w14:paraId="2C5DE27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m</w:t>
            </w:r>
            <w:r>
              <w:rPr>
                <w:rFonts w:hint="default" w:ascii="Times New Roman" w:hAnsi="Times New Roman" w:eastAsia="宋体" w:cs="Times New Roman"/>
                <w:i w:val="0"/>
                <w:iCs w:val="0"/>
                <w:color w:val="000000"/>
                <w:kern w:val="0"/>
                <w:sz w:val="22"/>
                <w:szCs w:val="22"/>
                <w:u w:val="none"/>
                <w:vertAlign w:val="superscript"/>
                <w:lang w:val="en-US" w:eastAsia="zh-CN" w:bidi="ar"/>
              </w:rPr>
              <w:t>2</w:t>
            </w:r>
          </w:p>
        </w:tc>
        <w:tc>
          <w:tcPr>
            <w:tcW w:w="0" w:type="auto"/>
            <w:shd w:val="clear" w:color="auto" w:fill="auto"/>
            <w:vAlign w:val="center"/>
          </w:tcPr>
          <w:p w14:paraId="69AC27FA">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642A6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5C936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5772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0" w:type="auto"/>
            <w:shd w:val="clear" w:color="auto" w:fill="auto"/>
            <w:noWrap/>
            <w:vAlign w:val="center"/>
          </w:tcPr>
          <w:p w14:paraId="491BA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shd w:val="clear" w:color="auto" w:fill="auto"/>
            <w:noWrap/>
            <w:vAlign w:val="center"/>
          </w:tcPr>
          <w:p w14:paraId="3AE6242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演讲台</w:t>
            </w:r>
          </w:p>
        </w:tc>
        <w:tc>
          <w:tcPr>
            <w:tcW w:w="0" w:type="auto"/>
            <w:shd w:val="clear" w:color="auto" w:fill="auto"/>
            <w:vAlign w:val="center"/>
          </w:tcPr>
          <w:p w14:paraId="73A64A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演讲台+装饰围板设计制作；</w:t>
            </w:r>
          </w:p>
        </w:tc>
        <w:tc>
          <w:tcPr>
            <w:tcW w:w="0" w:type="auto"/>
            <w:shd w:val="clear" w:color="auto" w:fill="auto"/>
            <w:vAlign w:val="center"/>
          </w:tcPr>
          <w:p w14:paraId="1654F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shd w:val="clear" w:color="auto" w:fill="auto"/>
            <w:noWrap/>
            <w:vAlign w:val="center"/>
          </w:tcPr>
          <w:p w14:paraId="73231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shd w:val="clear" w:color="auto" w:fill="auto"/>
            <w:vAlign w:val="center"/>
          </w:tcPr>
          <w:p w14:paraId="0E31E386">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15DE6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67FC72A6">
            <w:pPr>
              <w:jc w:val="center"/>
              <w:rPr>
                <w:rFonts w:hint="eastAsia" w:ascii="宋体" w:hAnsi="宋体" w:eastAsia="宋体" w:cs="宋体"/>
                <w:i w:val="0"/>
                <w:iCs w:val="0"/>
                <w:color w:val="000000"/>
                <w:sz w:val="22"/>
                <w:szCs w:val="22"/>
                <w:u w:val="none"/>
              </w:rPr>
            </w:pPr>
          </w:p>
        </w:tc>
      </w:tr>
      <w:tr w14:paraId="1F74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shd w:val="clear" w:color="auto" w:fill="auto"/>
            <w:noWrap/>
            <w:vAlign w:val="center"/>
          </w:tcPr>
          <w:p w14:paraId="154AD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shd w:val="clear" w:color="auto" w:fill="auto"/>
            <w:noWrap/>
            <w:vAlign w:val="center"/>
          </w:tcPr>
          <w:p w14:paraId="5F8B96D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嘉宾区椅子</w:t>
            </w:r>
          </w:p>
        </w:tc>
        <w:tc>
          <w:tcPr>
            <w:tcW w:w="0" w:type="auto"/>
            <w:shd w:val="clear" w:color="auto" w:fill="auto"/>
            <w:noWrap/>
            <w:vAlign w:val="center"/>
          </w:tcPr>
          <w:p w14:paraId="4C71EC6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靠背椅，白色椅套+蓝色绑带装饰；</w:t>
            </w:r>
          </w:p>
        </w:tc>
        <w:tc>
          <w:tcPr>
            <w:tcW w:w="0" w:type="auto"/>
            <w:shd w:val="clear" w:color="auto" w:fill="auto"/>
            <w:vAlign w:val="center"/>
          </w:tcPr>
          <w:p w14:paraId="3A170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0" w:type="auto"/>
            <w:shd w:val="clear" w:color="auto" w:fill="auto"/>
            <w:noWrap/>
            <w:vAlign w:val="center"/>
          </w:tcPr>
          <w:p w14:paraId="35C45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shd w:val="clear" w:color="auto" w:fill="auto"/>
            <w:vAlign w:val="center"/>
          </w:tcPr>
          <w:p w14:paraId="6D81B3E1">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43760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2CADB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3925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shd w:val="clear" w:color="auto" w:fill="auto"/>
            <w:noWrap/>
            <w:vAlign w:val="center"/>
          </w:tcPr>
          <w:p w14:paraId="53B21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shd w:val="clear" w:color="auto" w:fill="auto"/>
            <w:noWrap/>
            <w:vAlign w:val="center"/>
          </w:tcPr>
          <w:p w14:paraId="3698024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嘉宾区桌子</w:t>
            </w:r>
          </w:p>
        </w:tc>
        <w:tc>
          <w:tcPr>
            <w:tcW w:w="0" w:type="auto"/>
            <w:shd w:val="clear" w:color="auto" w:fill="auto"/>
            <w:noWrap/>
            <w:vAlign w:val="center"/>
          </w:tcPr>
          <w:p w14:paraId="284A8DB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折叠桌，红色桌套；</w:t>
            </w:r>
          </w:p>
        </w:tc>
        <w:tc>
          <w:tcPr>
            <w:tcW w:w="0" w:type="auto"/>
            <w:shd w:val="clear" w:color="auto" w:fill="auto"/>
            <w:vAlign w:val="center"/>
          </w:tcPr>
          <w:p w14:paraId="158CE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0" w:type="auto"/>
            <w:shd w:val="clear" w:color="auto" w:fill="auto"/>
            <w:noWrap/>
            <w:vAlign w:val="center"/>
          </w:tcPr>
          <w:p w14:paraId="2D09B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shd w:val="clear" w:color="auto" w:fill="auto"/>
            <w:vAlign w:val="center"/>
          </w:tcPr>
          <w:p w14:paraId="06019C67">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26156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2E29B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5540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shd w:val="clear" w:color="auto" w:fill="auto"/>
            <w:noWrap/>
            <w:vAlign w:val="center"/>
          </w:tcPr>
          <w:p w14:paraId="65BE7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shd w:val="clear" w:color="auto" w:fill="auto"/>
            <w:vAlign w:val="center"/>
          </w:tcPr>
          <w:p w14:paraId="521630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启用仪式启动道具</w:t>
            </w:r>
          </w:p>
        </w:tc>
        <w:tc>
          <w:tcPr>
            <w:tcW w:w="0" w:type="auto"/>
            <w:shd w:val="clear" w:color="auto" w:fill="auto"/>
            <w:vAlign w:val="center"/>
          </w:tcPr>
          <w:p w14:paraId="2541C7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定制启动道具，至少10组，配套触发装置及专业调试；</w:t>
            </w:r>
          </w:p>
        </w:tc>
        <w:tc>
          <w:tcPr>
            <w:tcW w:w="0" w:type="auto"/>
            <w:shd w:val="clear" w:color="auto" w:fill="auto"/>
            <w:vAlign w:val="center"/>
          </w:tcPr>
          <w:p w14:paraId="5887E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shd w:val="clear" w:color="auto" w:fill="auto"/>
            <w:noWrap/>
            <w:vAlign w:val="center"/>
          </w:tcPr>
          <w:p w14:paraId="5A59E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shd w:val="clear" w:color="auto" w:fill="auto"/>
            <w:vAlign w:val="center"/>
          </w:tcPr>
          <w:p w14:paraId="09C3D883">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3916B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79E8CDBC">
            <w:pPr>
              <w:jc w:val="center"/>
              <w:rPr>
                <w:rFonts w:hint="eastAsia" w:ascii="宋体" w:hAnsi="宋体" w:eastAsia="宋体" w:cs="宋体"/>
                <w:i w:val="0"/>
                <w:iCs w:val="0"/>
                <w:color w:val="000000"/>
                <w:sz w:val="22"/>
                <w:szCs w:val="22"/>
                <w:u w:val="none"/>
              </w:rPr>
            </w:pPr>
          </w:p>
        </w:tc>
      </w:tr>
      <w:tr w14:paraId="5100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shd w:val="clear" w:color="auto" w:fill="auto"/>
            <w:noWrap/>
            <w:vAlign w:val="center"/>
          </w:tcPr>
          <w:p w14:paraId="20B18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shd w:val="clear" w:color="auto" w:fill="auto"/>
            <w:vAlign w:val="center"/>
          </w:tcPr>
          <w:p w14:paraId="5D5055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舞台前标志3D造型</w:t>
            </w:r>
          </w:p>
        </w:tc>
        <w:tc>
          <w:tcPr>
            <w:tcW w:w="0" w:type="auto"/>
            <w:shd w:val="clear" w:color="auto" w:fill="auto"/>
            <w:vAlign w:val="center"/>
          </w:tcPr>
          <w:p w14:paraId="7F7ED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（1）整体尺寸：4.5m*0.8m；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（2）材质：20mm厚PVC板材+高精度UV喷印，表面硬光膜涂层，立体造型安装；</w:t>
            </w:r>
          </w:p>
        </w:tc>
        <w:tc>
          <w:tcPr>
            <w:tcW w:w="0" w:type="auto"/>
            <w:shd w:val="clear" w:color="auto" w:fill="auto"/>
            <w:vAlign w:val="center"/>
          </w:tcPr>
          <w:p w14:paraId="234B6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0" w:type="auto"/>
            <w:shd w:val="clear" w:color="auto" w:fill="auto"/>
            <w:noWrap/>
            <w:vAlign w:val="center"/>
          </w:tcPr>
          <w:p w14:paraId="70EF7E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m</w:t>
            </w:r>
            <w:r>
              <w:rPr>
                <w:rFonts w:hint="default" w:ascii="Times New Roman" w:hAnsi="Times New Roman" w:eastAsia="宋体" w:cs="Times New Roman"/>
                <w:i w:val="0"/>
                <w:iCs w:val="0"/>
                <w:color w:val="000000"/>
                <w:kern w:val="0"/>
                <w:sz w:val="22"/>
                <w:szCs w:val="22"/>
                <w:u w:val="none"/>
                <w:vertAlign w:val="superscript"/>
                <w:lang w:val="en-US" w:eastAsia="zh-CN" w:bidi="ar"/>
              </w:rPr>
              <w:t>2</w:t>
            </w:r>
          </w:p>
        </w:tc>
        <w:tc>
          <w:tcPr>
            <w:tcW w:w="0" w:type="auto"/>
            <w:shd w:val="clear" w:color="auto" w:fill="auto"/>
            <w:vAlign w:val="center"/>
          </w:tcPr>
          <w:p w14:paraId="35DB9A78">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43E2D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18955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01530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shd w:val="clear" w:color="auto" w:fill="auto"/>
            <w:noWrap/>
            <w:vAlign w:val="center"/>
          </w:tcPr>
          <w:p w14:paraId="32530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shd w:val="clear" w:color="auto" w:fill="auto"/>
            <w:noWrap/>
            <w:vAlign w:val="center"/>
          </w:tcPr>
          <w:p w14:paraId="1441ED9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舞台装饰</w:t>
            </w:r>
          </w:p>
        </w:tc>
        <w:tc>
          <w:tcPr>
            <w:tcW w:w="0" w:type="auto"/>
            <w:shd w:val="clear" w:color="auto" w:fill="auto"/>
            <w:noWrap/>
            <w:vAlign w:val="center"/>
          </w:tcPr>
          <w:p w14:paraId="24C8A20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定制主题元素和实物装饰，营造舞台氛围；</w:t>
            </w:r>
          </w:p>
        </w:tc>
        <w:tc>
          <w:tcPr>
            <w:tcW w:w="0" w:type="auto"/>
            <w:shd w:val="clear" w:color="auto" w:fill="auto"/>
            <w:vAlign w:val="center"/>
          </w:tcPr>
          <w:p w14:paraId="359FE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0" w:type="auto"/>
            <w:shd w:val="clear" w:color="auto" w:fill="auto"/>
            <w:noWrap/>
            <w:vAlign w:val="center"/>
          </w:tcPr>
          <w:p w14:paraId="6642A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shd w:val="clear" w:color="auto" w:fill="auto"/>
            <w:vAlign w:val="center"/>
          </w:tcPr>
          <w:p w14:paraId="03FD15E9">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3AE23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64C54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4AFF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shd w:val="clear" w:color="auto" w:fill="auto"/>
            <w:noWrap/>
            <w:vAlign w:val="center"/>
          </w:tcPr>
          <w:p w14:paraId="4E143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shd w:val="clear" w:color="auto" w:fill="auto"/>
            <w:noWrap/>
            <w:vAlign w:val="center"/>
          </w:tcPr>
          <w:p w14:paraId="1BC37F1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嘉宾区遮雨棚</w:t>
            </w:r>
          </w:p>
        </w:tc>
        <w:tc>
          <w:tcPr>
            <w:tcW w:w="0" w:type="auto"/>
            <w:shd w:val="clear" w:color="auto" w:fill="auto"/>
            <w:vAlign w:val="center"/>
          </w:tcPr>
          <w:p w14:paraId="0981687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（1）规格：整体尺寸：16m*20m；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（2）材质：可拆卸钢架结构，顶部为防水篷布，现场搭建；</w:t>
            </w:r>
          </w:p>
        </w:tc>
        <w:tc>
          <w:tcPr>
            <w:tcW w:w="0" w:type="auto"/>
            <w:shd w:val="clear" w:color="auto" w:fill="auto"/>
            <w:vAlign w:val="center"/>
          </w:tcPr>
          <w:p w14:paraId="2183C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0" w:type="auto"/>
            <w:shd w:val="clear" w:color="auto" w:fill="auto"/>
            <w:noWrap/>
            <w:vAlign w:val="center"/>
          </w:tcPr>
          <w:p w14:paraId="6BAA2FD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m</w:t>
            </w:r>
            <w:r>
              <w:rPr>
                <w:rFonts w:hint="default" w:ascii="Times New Roman" w:hAnsi="Times New Roman" w:eastAsia="宋体" w:cs="Times New Roman"/>
                <w:i w:val="0"/>
                <w:iCs w:val="0"/>
                <w:color w:val="000000"/>
                <w:kern w:val="0"/>
                <w:sz w:val="22"/>
                <w:szCs w:val="22"/>
                <w:u w:val="none"/>
                <w:vertAlign w:val="superscript"/>
                <w:lang w:val="en-US" w:eastAsia="zh-CN" w:bidi="ar"/>
              </w:rPr>
              <w:t>2</w:t>
            </w:r>
          </w:p>
        </w:tc>
        <w:tc>
          <w:tcPr>
            <w:tcW w:w="0" w:type="auto"/>
            <w:shd w:val="clear" w:color="auto" w:fill="auto"/>
            <w:vAlign w:val="center"/>
          </w:tcPr>
          <w:p w14:paraId="16083469">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37F7C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5ABF8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0471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shd w:val="clear" w:color="auto" w:fill="auto"/>
            <w:noWrap/>
            <w:vAlign w:val="center"/>
          </w:tcPr>
          <w:p w14:paraId="28CA0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shd w:val="clear" w:color="auto" w:fill="auto"/>
            <w:vAlign w:val="center"/>
          </w:tcPr>
          <w:p w14:paraId="277967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w:t>
            </w:r>
          </w:p>
        </w:tc>
        <w:tc>
          <w:tcPr>
            <w:tcW w:w="0" w:type="auto"/>
            <w:shd w:val="clear" w:color="auto" w:fill="auto"/>
            <w:vAlign w:val="center"/>
          </w:tcPr>
          <w:p w14:paraId="403973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标准尺寸，高级涤纶面料，配套旗杆底座配件；</w:t>
            </w:r>
          </w:p>
        </w:tc>
        <w:tc>
          <w:tcPr>
            <w:tcW w:w="0" w:type="auto"/>
            <w:shd w:val="clear" w:color="auto" w:fill="auto"/>
            <w:vAlign w:val="center"/>
          </w:tcPr>
          <w:p w14:paraId="33E23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0" w:type="auto"/>
            <w:shd w:val="clear" w:color="auto" w:fill="auto"/>
            <w:noWrap/>
            <w:vAlign w:val="center"/>
          </w:tcPr>
          <w:p w14:paraId="38FD5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0" w:type="auto"/>
            <w:shd w:val="clear" w:color="auto" w:fill="auto"/>
            <w:vAlign w:val="center"/>
          </w:tcPr>
          <w:p w14:paraId="63AA5548">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35D3C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20091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4490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gridSpan w:val="3"/>
            <w:shd w:val="clear" w:color="auto" w:fill="auto"/>
            <w:noWrap/>
            <w:vAlign w:val="center"/>
          </w:tcPr>
          <w:p w14:paraId="1427AA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shd w:val="clear" w:color="auto" w:fill="auto"/>
            <w:vAlign w:val="center"/>
          </w:tcPr>
          <w:p w14:paraId="66B0F7C1">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073735E2">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5B6CB567">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41DB51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0.00 </w:t>
            </w:r>
          </w:p>
        </w:tc>
        <w:tc>
          <w:tcPr>
            <w:tcW w:w="0" w:type="auto"/>
            <w:shd w:val="clear" w:color="auto" w:fill="auto"/>
            <w:vAlign w:val="center"/>
          </w:tcPr>
          <w:p w14:paraId="2ECAFD7F">
            <w:pPr>
              <w:jc w:val="center"/>
              <w:rPr>
                <w:rFonts w:hint="eastAsia" w:ascii="宋体" w:hAnsi="宋体" w:eastAsia="宋体" w:cs="宋体"/>
                <w:i w:val="0"/>
                <w:iCs w:val="0"/>
                <w:color w:val="000000"/>
                <w:sz w:val="22"/>
                <w:szCs w:val="22"/>
                <w:u w:val="none"/>
              </w:rPr>
            </w:pPr>
          </w:p>
        </w:tc>
      </w:tr>
      <w:tr w14:paraId="15AC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gridSpan w:val="8"/>
            <w:shd w:val="clear" w:color="auto" w:fill="auto"/>
            <w:vAlign w:val="center"/>
          </w:tcPr>
          <w:p w14:paraId="6BABD56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签到区</w:t>
            </w:r>
          </w:p>
        </w:tc>
      </w:tr>
      <w:tr w14:paraId="5F74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0" w:type="auto"/>
            <w:shd w:val="clear" w:color="auto" w:fill="auto"/>
            <w:noWrap/>
            <w:vAlign w:val="center"/>
          </w:tcPr>
          <w:p w14:paraId="3A443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vAlign w:val="center"/>
          </w:tcPr>
          <w:p w14:paraId="65D52D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启用仪式异形拱门</w:t>
            </w:r>
          </w:p>
        </w:tc>
        <w:tc>
          <w:tcPr>
            <w:tcW w:w="0" w:type="auto"/>
            <w:shd w:val="clear" w:color="auto" w:fill="auto"/>
            <w:vAlign w:val="center"/>
          </w:tcPr>
          <w:p w14:paraId="2024C24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（1）规格：整体尺寸：长11m*高4.3m，门洞尺寸：8m*3m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（2）材质：钢结构桁架搭建框架+黑胶喷绘+KT板立体造型，UV过膜裁切，现场安装固定；</w:t>
            </w:r>
          </w:p>
        </w:tc>
        <w:tc>
          <w:tcPr>
            <w:tcW w:w="0" w:type="auto"/>
            <w:shd w:val="clear" w:color="auto" w:fill="auto"/>
            <w:vAlign w:val="center"/>
          </w:tcPr>
          <w:p w14:paraId="49673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shd w:val="clear" w:color="auto" w:fill="auto"/>
            <w:noWrap/>
            <w:vAlign w:val="center"/>
          </w:tcPr>
          <w:p w14:paraId="323FE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shd w:val="clear" w:color="auto" w:fill="auto"/>
            <w:vAlign w:val="center"/>
          </w:tcPr>
          <w:p w14:paraId="4E854B32">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641C6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56AF87FE">
            <w:pPr>
              <w:jc w:val="center"/>
              <w:rPr>
                <w:rFonts w:hint="eastAsia" w:ascii="宋体" w:hAnsi="宋体" w:eastAsia="宋体" w:cs="宋体"/>
                <w:i w:val="0"/>
                <w:iCs w:val="0"/>
                <w:color w:val="000000"/>
                <w:sz w:val="22"/>
                <w:szCs w:val="22"/>
                <w:u w:val="none"/>
              </w:rPr>
            </w:pPr>
          </w:p>
        </w:tc>
      </w:tr>
      <w:tr w14:paraId="0FDA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0" w:type="auto"/>
            <w:shd w:val="clear" w:color="auto" w:fill="auto"/>
            <w:noWrap/>
            <w:vAlign w:val="center"/>
          </w:tcPr>
          <w:p w14:paraId="6BF6B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14:paraId="44F9E11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签到主背景</w:t>
            </w:r>
          </w:p>
        </w:tc>
        <w:tc>
          <w:tcPr>
            <w:tcW w:w="0" w:type="auto"/>
            <w:shd w:val="clear" w:color="auto" w:fill="auto"/>
            <w:vAlign w:val="center"/>
          </w:tcPr>
          <w:p w14:paraId="272EC17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（1）规格：整体尺寸：长5m*高3m；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（2）材质：钢结构桁架搭建框架+黑胶喷绘，现场安装固定；</w:t>
            </w:r>
          </w:p>
        </w:tc>
        <w:tc>
          <w:tcPr>
            <w:tcW w:w="0" w:type="auto"/>
            <w:shd w:val="clear" w:color="auto" w:fill="auto"/>
            <w:vAlign w:val="center"/>
          </w:tcPr>
          <w:p w14:paraId="6B8C3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shd w:val="clear" w:color="auto" w:fill="auto"/>
            <w:noWrap/>
            <w:vAlign w:val="center"/>
          </w:tcPr>
          <w:p w14:paraId="7E648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shd w:val="clear" w:color="auto" w:fill="auto"/>
            <w:vAlign w:val="center"/>
          </w:tcPr>
          <w:p w14:paraId="3240D36F">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038A6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3B4D2978">
            <w:pPr>
              <w:jc w:val="center"/>
              <w:rPr>
                <w:rFonts w:hint="eastAsia" w:ascii="宋体" w:hAnsi="宋体" w:eastAsia="宋体" w:cs="宋体"/>
                <w:i w:val="0"/>
                <w:iCs w:val="0"/>
                <w:color w:val="000000"/>
                <w:sz w:val="22"/>
                <w:szCs w:val="22"/>
                <w:u w:val="none"/>
              </w:rPr>
            </w:pPr>
          </w:p>
        </w:tc>
      </w:tr>
      <w:tr w14:paraId="7011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shd w:val="clear" w:color="auto" w:fill="auto"/>
            <w:noWrap/>
            <w:vAlign w:val="center"/>
          </w:tcPr>
          <w:p w14:paraId="502EE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noWrap/>
            <w:vAlign w:val="center"/>
          </w:tcPr>
          <w:p w14:paraId="25C60CD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签到桌</w:t>
            </w:r>
          </w:p>
        </w:tc>
        <w:tc>
          <w:tcPr>
            <w:tcW w:w="0" w:type="auto"/>
            <w:shd w:val="clear" w:color="auto" w:fill="auto"/>
            <w:noWrap/>
            <w:vAlign w:val="center"/>
          </w:tcPr>
          <w:p w14:paraId="778BA7E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折叠+蓝色桌套；</w:t>
            </w:r>
          </w:p>
        </w:tc>
        <w:tc>
          <w:tcPr>
            <w:tcW w:w="0" w:type="auto"/>
            <w:shd w:val="clear" w:color="auto" w:fill="auto"/>
            <w:vAlign w:val="center"/>
          </w:tcPr>
          <w:p w14:paraId="788D2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0" w:type="auto"/>
            <w:shd w:val="clear" w:color="auto" w:fill="auto"/>
            <w:noWrap/>
            <w:vAlign w:val="center"/>
          </w:tcPr>
          <w:p w14:paraId="363E4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shd w:val="clear" w:color="auto" w:fill="auto"/>
            <w:vAlign w:val="center"/>
          </w:tcPr>
          <w:p w14:paraId="29440C72">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42740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25352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623B6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shd w:val="clear" w:color="auto" w:fill="auto"/>
            <w:noWrap/>
            <w:vAlign w:val="center"/>
          </w:tcPr>
          <w:p w14:paraId="66600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noWrap/>
            <w:vAlign w:val="center"/>
          </w:tcPr>
          <w:p w14:paraId="1BC8896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签到本</w:t>
            </w:r>
          </w:p>
        </w:tc>
        <w:tc>
          <w:tcPr>
            <w:tcW w:w="0" w:type="auto"/>
            <w:shd w:val="clear" w:color="auto" w:fill="auto"/>
            <w:vAlign w:val="center"/>
          </w:tcPr>
          <w:p w14:paraId="3329162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（1）规格：A4；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（2）材质：折页硬皮精装本；</w:t>
            </w:r>
          </w:p>
        </w:tc>
        <w:tc>
          <w:tcPr>
            <w:tcW w:w="0" w:type="auto"/>
            <w:shd w:val="clear" w:color="auto" w:fill="auto"/>
            <w:vAlign w:val="center"/>
          </w:tcPr>
          <w:p w14:paraId="5DEFD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0" w:type="auto"/>
            <w:shd w:val="clear" w:color="auto" w:fill="auto"/>
            <w:noWrap/>
            <w:vAlign w:val="center"/>
          </w:tcPr>
          <w:p w14:paraId="069C6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0" w:type="auto"/>
            <w:shd w:val="clear" w:color="auto" w:fill="auto"/>
            <w:vAlign w:val="center"/>
          </w:tcPr>
          <w:p w14:paraId="0A372F78">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7C2B5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4D8D7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0E0CC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shd w:val="clear" w:color="auto" w:fill="auto"/>
            <w:noWrap/>
            <w:vAlign w:val="center"/>
          </w:tcPr>
          <w:p w14:paraId="22DEB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shd w:val="clear" w:color="auto" w:fill="auto"/>
            <w:noWrap/>
            <w:vAlign w:val="center"/>
          </w:tcPr>
          <w:p w14:paraId="41DB7CB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签到笔</w:t>
            </w:r>
          </w:p>
        </w:tc>
        <w:tc>
          <w:tcPr>
            <w:tcW w:w="0" w:type="auto"/>
            <w:shd w:val="clear" w:color="auto" w:fill="auto"/>
            <w:noWrap/>
            <w:vAlign w:val="center"/>
          </w:tcPr>
          <w:p w14:paraId="0556B56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黑色与香槟金</w:t>
            </w:r>
          </w:p>
        </w:tc>
        <w:tc>
          <w:tcPr>
            <w:tcW w:w="0" w:type="auto"/>
            <w:shd w:val="clear" w:color="auto" w:fill="auto"/>
            <w:vAlign w:val="center"/>
          </w:tcPr>
          <w:p w14:paraId="58043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0" w:type="auto"/>
            <w:shd w:val="clear" w:color="auto" w:fill="auto"/>
            <w:noWrap/>
            <w:vAlign w:val="center"/>
          </w:tcPr>
          <w:p w14:paraId="00BCA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0" w:type="auto"/>
            <w:shd w:val="clear" w:color="auto" w:fill="auto"/>
            <w:vAlign w:val="center"/>
          </w:tcPr>
          <w:p w14:paraId="035FEB55">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32D96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59A4D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5197E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shd w:val="clear" w:color="auto" w:fill="auto"/>
            <w:noWrap/>
            <w:vAlign w:val="center"/>
          </w:tcPr>
          <w:p w14:paraId="36AD2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shd w:val="clear" w:color="auto" w:fill="auto"/>
            <w:noWrap/>
            <w:vAlign w:val="center"/>
          </w:tcPr>
          <w:p w14:paraId="6085AA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文创产</w:t>
            </w:r>
            <w:r>
              <w:rPr>
                <w:rFonts w:hint="eastAsia" w:ascii="宋体" w:hAnsi="宋体" w:eastAsia="宋体" w:cs="宋体"/>
                <w:i w:val="0"/>
                <w:iCs w:val="0"/>
                <w:color w:val="000000"/>
                <w:kern w:val="0"/>
                <w:sz w:val="22"/>
                <w:szCs w:val="22"/>
                <w:u w:val="none"/>
                <w:lang w:val="en-US" w:eastAsia="zh-CN" w:bidi="ar"/>
              </w:rPr>
              <w:t>品</w:t>
            </w:r>
          </w:p>
        </w:tc>
        <w:tc>
          <w:tcPr>
            <w:tcW w:w="0" w:type="auto"/>
            <w:shd w:val="clear" w:color="auto" w:fill="auto"/>
            <w:noWrap/>
            <w:vAlign w:val="center"/>
          </w:tcPr>
          <w:p w14:paraId="1229D4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医院文创产品，包括设计并制作医疗元素与创意设计结合的医疗文化特色产品（如设计带有医院文化元素的T恤衫、笔记本、书签、明信片、便签本、签字笔、U盘、杯子、手提袋、雨伞、钥匙扣、冰箱贴、鼠标垫等）</w:t>
            </w:r>
          </w:p>
        </w:tc>
        <w:tc>
          <w:tcPr>
            <w:tcW w:w="0" w:type="auto"/>
            <w:shd w:val="clear" w:color="auto" w:fill="auto"/>
            <w:noWrap/>
            <w:vAlign w:val="center"/>
          </w:tcPr>
          <w:p w14:paraId="1DDC4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shd w:val="clear" w:color="auto" w:fill="auto"/>
            <w:noWrap/>
            <w:vAlign w:val="center"/>
          </w:tcPr>
          <w:p w14:paraId="13341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份</w:t>
            </w:r>
          </w:p>
        </w:tc>
        <w:tc>
          <w:tcPr>
            <w:tcW w:w="0" w:type="auto"/>
            <w:shd w:val="clear" w:color="auto" w:fill="auto"/>
            <w:vAlign w:val="center"/>
          </w:tcPr>
          <w:p w14:paraId="11A00BC3">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47E4C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5DFF0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44BA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0" w:type="auto"/>
            <w:gridSpan w:val="3"/>
            <w:shd w:val="clear" w:color="auto" w:fill="auto"/>
            <w:noWrap/>
            <w:vAlign w:val="center"/>
          </w:tcPr>
          <w:p w14:paraId="49FF3A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shd w:val="clear" w:color="auto" w:fill="auto"/>
            <w:vAlign w:val="center"/>
          </w:tcPr>
          <w:p w14:paraId="4C3BC728">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70FBE925">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6B8567D2">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1B0AF1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0.00 </w:t>
            </w:r>
          </w:p>
        </w:tc>
        <w:tc>
          <w:tcPr>
            <w:tcW w:w="0" w:type="auto"/>
            <w:shd w:val="clear" w:color="auto" w:fill="auto"/>
            <w:vAlign w:val="center"/>
          </w:tcPr>
          <w:p w14:paraId="4A01ECD8">
            <w:pPr>
              <w:jc w:val="center"/>
              <w:rPr>
                <w:rFonts w:hint="eastAsia" w:ascii="宋体" w:hAnsi="宋体" w:eastAsia="宋体" w:cs="宋体"/>
                <w:i w:val="0"/>
                <w:iCs w:val="0"/>
                <w:color w:val="000000"/>
                <w:sz w:val="22"/>
                <w:szCs w:val="22"/>
                <w:u w:val="none"/>
              </w:rPr>
            </w:pPr>
          </w:p>
        </w:tc>
      </w:tr>
      <w:tr w14:paraId="3AB8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0" w:type="auto"/>
            <w:gridSpan w:val="8"/>
            <w:shd w:val="clear" w:color="auto" w:fill="auto"/>
            <w:vAlign w:val="center"/>
          </w:tcPr>
          <w:p w14:paraId="1498D54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物料</w:t>
            </w:r>
          </w:p>
        </w:tc>
      </w:tr>
      <w:tr w14:paraId="0CCA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0" w:type="auto"/>
            <w:shd w:val="clear" w:color="auto" w:fill="auto"/>
            <w:noWrap/>
            <w:vAlign w:val="center"/>
          </w:tcPr>
          <w:p w14:paraId="75793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vAlign w:val="center"/>
          </w:tcPr>
          <w:p w14:paraId="7213FC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嘉宾台卡</w:t>
            </w:r>
          </w:p>
        </w:tc>
        <w:tc>
          <w:tcPr>
            <w:tcW w:w="0" w:type="auto"/>
            <w:shd w:val="clear" w:color="auto" w:fill="auto"/>
            <w:vAlign w:val="center"/>
          </w:tcPr>
          <w:p w14:paraId="2C6877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亚克力台卡，内页：可替换150g铜版纸；</w:t>
            </w:r>
          </w:p>
        </w:tc>
        <w:tc>
          <w:tcPr>
            <w:tcW w:w="0" w:type="auto"/>
            <w:shd w:val="clear" w:color="auto" w:fill="auto"/>
            <w:vAlign w:val="center"/>
          </w:tcPr>
          <w:p w14:paraId="69020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 </w:t>
            </w:r>
          </w:p>
        </w:tc>
        <w:tc>
          <w:tcPr>
            <w:tcW w:w="0" w:type="auto"/>
            <w:shd w:val="clear" w:color="auto" w:fill="auto"/>
            <w:noWrap/>
            <w:vAlign w:val="center"/>
          </w:tcPr>
          <w:p w14:paraId="7C6D9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shd w:val="clear" w:color="auto" w:fill="auto"/>
            <w:vAlign w:val="center"/>
          </w:tcPr>
          <w:p w14:paraId="6F3ACCD5">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5C75A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197F1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2DE0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shd w:val="clear" w:color="auto" w:fill="auto"/>
            <w:noWrap/>
            <w:vAlign w:val="center"/>
          </w:tcPr>
          <w:p w14:paraId="7A0EC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vAlign w:val="center"/>
          </w:tcPr>
          <w:p w14:paraId="33C026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工作牌</w:t>
            </w:r>
          </w:p>
        </w:tc>
        <w:tc>
          <w:tcPr>
            <w:tcW w:w="0" w:type="auto"/>
            <w:shd w:val="clear" w:color="auto" w:fill="auto"/>
            <w:vAlign w:val="center"/>
          </w:tcPr>
          <w:p w14:paraId="352742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硬卡外壳，内页：200g铜版纸双面印刷+挂绳；</w:t>
            </w:r>
          </w:p>
        </w:tc>
        <w:tc>
          <w:tcPr>
            <w:tcW w:w="0" w:type="auto"/>
            <w:shd w:val="clear" w:color="auto" w:fill="auto"/>
            <w:vAlign w:val="center"/>
          </w:tcPr>
          <w:p w14:paraId="24FC2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0" w:type="auto"/>
            <w:shd w:val="clear" w:color="auto" w:fill="auto"/>
            <w:noWrap/>
            <w:vAlign w:val="center"/>
          </w:tcPr>
          <w:p w14:paraId="55EBF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shd w:val="clear" w:color="auto" w:fill="auto"/>
            <w:vAlign w:val="center"/>
          </w:tcPr>
          <w:p w14:paraId="11B2BB63">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5F7CF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2863B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25BD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shd w:val="clear" w:color="auto" w:fill="auto"/>
            <w:noWrap/>
            <w:vAlign w:val="center"/>
          </w:tcPr>
          <w:p w14:paraId="0108C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vAlign w:val="center"/>
          </w:tcPr>
          <w:p w14:paraId="1CB62B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纸质邀请函</w:t>
            </w:r>
          </w:p>
        </w:tc>
        <w:tc>
          <w:tcPr>
            <w:tcW w:w="0" w:type="auto"/>
            <w:shd w:val="clear" w:color="auto" w:fill="auto"/>
            <w:vAlign w:val="center"/>
          </w:tcPr>
          <w:p w14:paraId="6A3BDC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外封：280g特种高阶网纹纸模切及烫金；内页：300g刚古纸4C印刷；</w:t>
            </w:r>
          </w:p>
        </w:tc>
        <w:tc>
          <w:tcPr>
            <w:tcW w:w="0" w:type="auto"/>
            <w:shd w:val="clear" w:color="auto" w:fill="auto"/>
            <w:vAlign w:val="center"/>
          </w:tcPr>
          <w:p w14:paraId="468E7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0" w:type="auto"/>
            <w:shd w:val="clear" w:color="auto" w:fill="auto"/>
            <w:noWrap/>
            <w:vAlign w:val="center"/>
          </w:tcPr>
          <w:p w14:paraId="35DBF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份</w:t>
            </w:r>
          </w:p>
        </w:tc>
        <w:tc>
          <w:tcPr>
            <w:tcW w:w="0" w:type="auto"/>
            <w:shd w:val="clear" w:color="auto" w:fill="auto"/>
            <w:vAlign w:val="center"/>
          </w:tcPr>
          <w:p w14:paraId="4E017A80">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3FC47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7C532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17D3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0" w:type="auto"/>
            <w:shd w:val="clear" w:color="auto" w:fill="auto"/>
            <w:noWrap/>
            <w:vAlign w:val="center"/>
          </w:tcPr>
          <w:p w14:paraId="2EAA0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vAlign w:val="center"/>
          </w:tcPr>
          <w:p w14:paraId="058A3C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资料手提袋</w:t>
            </w:r>
          </w:p>
        </w:tc>
        <w:tc>
          <w:tcPr>
            <w:tcW w:w="0" w:type="auto"/>
            <w:shd w:val="clear" w:color="auto" w:fill="auto"/>
            <w:vAlign w:val="center"/>
          </w:tcPr>
          <w:p w14:paraId="7B76C6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（1）规格：宽300mm*高400mm*宽45mm；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（2）材质：无纺布过淋膜；</w:t>
            </w:r>
          </w:p>
        </w:tc>
        <w:tc>
          <w:tcPr>
            <w:tcW w:w="0" w:type="auto"/>
            <w:shd w:val="clear" w:color="auto" w:fill="auto"/>
            <w:vAlign w:val="center"/>
          </w:tcPr>
          <w:p w14:paraId="715C0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0" w:type="auto"/>
            <w:shd w:val="clear" w:color="auto" w:fill="auto"/>
            <w:noWrap/>
            <w:vAlign w:val="center"/>
          </w:tcPr>
          <w:p w14:paraId="25B2C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shd w:val="clear" w:color="auto" w:fill="auto"/>
            <w:vAlign w:val="center"/>
          </w:tcPr>
          <w:p w14:paraId="4CBB3727">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54881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1BBAC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6806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0" w:type="auto"/>
            <w:gridSpan w:val="3"/>
            <w:shd w:val="clear" w:color="auto" w:fill="auto"/>
            <w:noWrap/>
            <w:vAlign w:val="center"/>
          </w:tcPr>
          <w:p w14:paraId="600181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shd w:val="clear" w:color="auto" w:fill="auto"/>
            <w:vAlign w:val="center"/>
          </w:tcPr>
          <w:p w14:paraId="51C95732">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63F7F02F">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03399591">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1EF284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0.00 </w:t>
            </w:r>
          </w:p>
        </w:tc>
        <w:tc>
          <w:tcPr>
            <w:tcW w:w="0" w:type="auto"/>
            <w:shd w:val="clear" w:color="auto" w:fill="auto"/>
            <w:vAlign w:val="center"/>
          </w:tcPr>
          <w:p w14:paraId="3C06864F">
            <w:pPr>
              <w:jc w:val="center"/>
              <w:rPr>
                <w:rFonts w:hint="eastAsia" w:ascii="宋体" w:hAnsi="宋体" w:eastAsia="宋体" w:cs="宋体"/>
                <w:i w:val="0"/>
                <w:iCs w:val="0"/>
                <w:color w:val="000000"/>
                <w:sz w:val="22"/>
                <w:szCs w:val="22"/>
                <w:u w:val="none"/>
              </w:rPr>
            </w:pPr>
          </w:p>
        </w:tc>
      </w:tr>
      <w:tr w14:paraId="21D0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gridSpan w:val="8"/>
            <w:shd w:val="clear" w:color="auto" w:fill="auto"/>
            <w:noWrap/>
            <w:vAlign w:val="center"/>
          </w:tcPr>
          <w:p w14:paraId="47BF8B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导视物料</w:t>
            </w:r>
          </w:p>
        </w:tc>
      </w:tr>
      <w:tr w14:paraId="7F0C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0" w:type="auto"/>
            <w:shd w:val="clear" w:color="auto" w:fill="auto"/>
            <w:noWrap/>
            <w:vAlign w:val="center"/>
          </w:tcPr>
          <w:p w14:paraId="3045C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14:paraId="746BE9A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指引牌</w:t>
            </w:r>
          </w:p>
        </w:tc>
        <w:tc>
          <w:tcPr>
            <w:tcW w:w="0" w:type="auto"/>
            <w:shd w:val="clear" w:color="auto" w:fill="auto"/>
            <w:noWrap/>
            <w:vAlign w:val="center"/>
          </w:tcPr>
          <w:p w14:paraId="267AD8F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可调节高度框架+画面KT板过膜；</w:t>
            </w:r>
          </w:p>
        </w:tc>
        <w:tc>
          <w:tcPr>
            <w:tcW w:w="0" w:type="auto"/>
            <w:shd w:val="clear" w:color="auto" w:fill="auto"/>
            <w:vAlign w:val="center"/>
          </w:tcPr>
          <w:p w14:paraId="6CD12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0" w:type="auto"/>
            <w:shd w:val="clear" w:color="auto" w:fill="auto"/>
            <w:noWrap/>
            <w:vAlign w:val="center"/>
          </w:tcPr>
          <w:p w14:paraId="14932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shd w:val="clear" w:color="auto" w:fill="auto"/>
            <w:vAlign w:val="center"/>
          </w:tcPr>
          <w:p w14:paraId="16996CD6">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2F46D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20C1B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20EB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0" w:type="auto"/>
            <w:shd w:val="clear" w:color="auto" w:fill="auto"/>
            <w:noWrap/>
            <w:vAlign w:val="center"/>
          </w:tcPr>
          <w:p w14:paraId="24C17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vAlign w:val="center"/>
          </w:tcPr>
          <w:p w14:paraId="2FBBC9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指引地贴</w:t>
            </w:r>
          </w:p>
        </w:tc>
        <w:tc>
          <w:tcPr>
            <w:tcW w:w="0" w:type="auto"/>
            <w:shd w:val="clear" w:color="auto" w:fill="auto"/>
            <w:vAlign w:val="center"/>
          </w:tcPr>
          <w:p w14:paraId="407858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户外地贴写真覆膜，高清印刷；</w:t>
            </w:r>
          </w:p>
        </w:tc>
        <w:tc>
          <w:tcPr>
            <w:tcW w:w="0" w:type="auto"/>
            <w:shd w:val="clear" w:color="auto" w:fill="auto"/>
            <w:vAlign w:val="center"/>
          </w:tcPr>
          <w:p w14:paraId="4CB91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shd w:val="clear" w:color="auto" w:fill="auto"/>
            <w:vAlign w:val="center"/>
          </w:tcPr>
          <w:p w14:paraId="71077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shd w:val="clear" w:color="auto" w:fill="auto"/>
            <w:vAlign w:val="center"/>
          </w:tcPr>
          <w:p w14:paraId="76E2FF8D">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0C2A8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6084E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5589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0" w:type="auto"/>
            <w:shd w:val="clear" w:color="auto" w:fill="auto"/>
            <w:noWrap/>
            <w:vAlign w:val="center"/>
          </w:tcPr>
          <w:p w14:paraId="64E40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vAlign w:val="center"/>
          </w:tcPr>
          <w:p w14:paraId="78566D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主席台占位地贴</w:t>
            </w:r>
          </w:p>
        </w:tc>
        <w:tc>
          <w:tcPr>
            <w:tcW w:w="0" w:type="auto"/>
            <w:shd w:val="clear" w:color="auto" w:fill="auto"/>
            <w:vAlign w:val="center"/>
          </w:tcPr>
          <w:p w14:paraId="6403BE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户外地贴写真覆膜，高清印刷；</w:t>
            </w:r>
          </w:p>
        </w:tc>
        <w:tc>
          <w:tcPr>
            <w:tcW w:w="0" w:type="auto"/>
            <w:shd w:val="clear" w:color="auto" w:fill="auto"/>
            <w:vAlign w:val="center"/>
          </w:tcPr>
          <w:p w14:paraId="03838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shd w:val="clear" w:color="auto" w:fill="auto"/>
            <w:vAlign w:val="center"/>
          </w:tcPr>
          <w:p w14:paraId="1C35D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shd w:val="clear" w:color="auto" w:fill="auto"/>
            <w:vAlign w:val="center"/>
          </w:tcPr>
          <w:p w14:paraId="773F76C4">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1C9AE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47A8E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4D40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0" w:type="auto"/>
            <w:shd w:val="clear" w:color="auto" w:fill="auto"/>
            <w:noWrap/>
            <w:vAlign w:val="center"/>
          </w:tcPr>
          <w:p w14:paraId="43E3F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vAlign w:val="center"/>
          </w:tcPr>
          <w:p w14:paraId="223B41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指引墙贴</w:t>
            </w:r>
          </w:p>
        </w:tc>
        <w:tc>
          <w:tcPr>
            <w:tcW w:w="0" w:type="auto"/>
            <w:shd w:val="clear" w:color="auto" w:fill="auto"/>
            <w:vAlign w:val="center"/>
          </w:tcPr>
          <w:p w14:paraId="452248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户外车贴写真覆膜，高清印刷；</w:t>
            </w:r>
          </w:p>
        </w:tc>
        <w:tc>
          <w:tcPr>
            <w:tcW w:w="0" w:type="auto"/>
            <w:shd w:val="clear" w:color="auto" w:fill="auto"/>
            <w:vAlign w:val="center"/>
          </w:tcPr>
          <w:p w14:paraId="74ABC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shd w:val="clear" w:color="auto" w:fill="auto"/>
            <w:vAlign w:val="center"/>
          </w:tcPr>
          <w:p w14:paraId="0A274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shd w:val="clear" w:color="auto" w:fill="auto"/>
            <w:vAlign w:val="center"/>
          </w:tcPr>
          <w:p w14:paraId="325CA509">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021A0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50723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6739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0" w:type="auto"/>
            <w:shd w:val="clear" w:color="auto" w:fill="auto"/>
            <w:noWrap/>
            <w:vAlign w:val="center"/>
          </w:tcPr>
          <w:p w14:paraId="1B1D2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shd w:val="clear" w:color="auto" w:fill="auto"/>
            <w:vAlign w:val="center"/>
          </w:tcPr>
          <w:p w14:paraId="219246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“专用电梯”贴牌</w:t>
            </w:r>
          </w:p>
        </w:tc>
        <w:tc>
          <w:tcPr>
            <w:tcW w:w="0" w:type="auto"/>
            <w:shd w:val="clear" w:color="auto" w:fill="auto"/>
            <w:vAlign w:val="center"/>
          </w:tcPr>
          <w:p w14:paraId="79F1DF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KT板裱写真；</w:t>
            </w:r>
          </w:p>
        </w:tc>
        <w:tc>
          <w:tcPr>
            <w:tcW w:w="0" w:type="auto"/>
            <w:shd w:val="clear" w:color="auto" w:fill="auto"/>
            <w:vAlign w:val="center"/>
          </w:tcPr>
          <w:p w14:paraId="44366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shd w:val="clear" w:color="auto" w:fill="auto"/>
            <w:vAlign w:val="center"/>
          </w:tcPr>
          <w:p w14:paraId="03E8A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shd w:val="clear" w:color="auto" w:fill="auto"/>
            <w:vAlign w:val="center"/>
          </w:tcPr>
          <w:p w14:paraId="6B98C9E2">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6E4A0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0D22E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5154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0" w:type="auto"/>
            <w:shd w:val="clear" w:color="auto" w:fill="auto"/>
            <w:noWrap/>
            <w:vAlign w:val="center"/>
          </w:tcPr>
          <w:p w14:paraId="2197C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shd w:val="clear" w:color="auto" w:fill="auto"/>
            <w:vAlign w:val="center"/>
          </w:tcPr>
          <w:p w14:paraId="7E303E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门牌贴</w:t>
            </w:r>
          </w:p>
        </w:tc>
        <w:tc>
          <w:tcPr>
            <w:tcW w:w="0" w:type="auto"/>
            <w:shd w:val="clear" w:color="auto" w:fill="auto"/>
            <w:vAlign w:val="center"/>
          </w:tcPr>
          <w:p w14:paraId="58E811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KT板裱写真；</w:t>
            </w:r>
          </w:p>
        </w:tc>
        <w:tc>
          <w:tcPr>
            <w:tcW w:w="0" w:type="auto"/>
            <w:shd w:val="clear" w:color="auto" w:fill="auto"/>
            <w:vAlign w:val="center"/>
          </w:tcPr>
          <w:p w14:paraId="08F72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shd w:val="clear" w:color="auto" w:fill="auto"/>
            <w:vAlign w:val="center"/>
          </w:tcPr>
          <w:p w14:paraId="78543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shd w:val="clear" w:color="auto" w:fill="auto"/>
            <w:vAlign w:val="center"/>
          </w:tcPr>
          <w:p w14:paraId="30CF5511">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7473A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3C335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7C3E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0" w:type="auto"/>
            <w:gridSpan w:val="3"/>
            <w:shd w:val="clear" w:color="auto" w:fill="auto"/>
            <w:noWrap/>
            <w:vAlign w:val="center"/>
          </w:tcPr>
          <w:p w14:paraId="7480B9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shd w:val="clear" w:color="auto" w:fill="auto"/>
            <w:vAlign w:val="center"/>
          </w:tcPr>
          <w:p w14:paraId="56165A8F">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3F11F298">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632FBA40">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37EC1F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0.00 </w:t>
            </w:r>
          </w:p>
        </w:tc>
        <w:tc>
          <w:tcPr>
            <w:tcW w:w="0" w:type="auto"/>
            <w:shd w:val="clear" w:color="auto" w:fill="auto"/>
            <w:vAlign w:val="center"/>
          </w:tcPr>
          <w:p w14:paraId="2F9B9577">
            <w:pPr>
              <w:jc w:val="center"/>
              <w:rPr>
                <w:rFonts w:hint="eastAsia" w:ascii="宋体" w:hAnsi="宋体" w:eastAsia="宋体" w:cs="宋体"/>
                <w:b/>
                <w:bCs/>
                <w:i w:val="0"/>
                <w:iCs w:val="0"/>
                <w:color w:val="000000"/>
                <w:sz w:val="22"/>
                <w:szCs w:val="22"/>
                <w:u w:val="none"/>
              </w:rPr>
            </w:pPr>
          </w:p>
        </w:tc>
      </w:tr>
      <w:tr w14:paraId="44FD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gridSpan w:val="8"/>
            <w:shd w:val="clear" w:color="auto" w:fill="auto"/>
            <w:vAlign w:val="center"/>
          </w:tcPr>
          <w:p w14:paraId="69BB8CC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其他项</w:t>
            </w:r>
          </w:p>
        </w:tc>
      </w:tr>
      <w:tr w14:paraId="49CA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0" w:type="auto"/>
            <w:shd w:val="clear" w:color="auto" w:fill="auto"/>
            <w:noWrap/>
            <w:vAlign w:val="center"/>
          </w:tcPr>
          <w:p w14:paraId="39A69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vAlign w:val="center"/>
          </w:tcPr>
          <w:p w14:paraId="334BD4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道旗</w:t>
            </w:r>
          </w:p>
        </w:tc>
        <w:tc>
          <w:tcPr>
            <w:tcW w:w="0" w:type="auto"/>
            <w:shd w:val="clear" w:color="auto" w:fill="auto"/>
            <w:vAlign w:val="center"/>
          </w:tcPr>
          <w:p w14:paraId="5FF5BE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3米高注水式底座，双面印旗帜；</w:t>
            </w:r>
          </w:p>
        </w:tc>
        <w:tc>
          <w:tcPr>
            <w:tcW w:w="0" w:type="auto"/>
            <w:shd w:val="clear" w:color="auto" w:fill="auto"/>
            <w:vAlign w:val="center"/>
          </w:tcPr>
          <w:p w14:paraId="0AD0E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0" w:type="auto"/>
            <w:shd w:val="clear" w:color="auto" w:fill="auto"/>
            <w:noWrap/>
            <w:vAlign w:val="center"/>
          </w:tcPr>
          <w:p w14:paraId="0E172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shd w:val="clear" w:color="auto" w:fill="auto"/>
            <w:vAlign w:val="center"/>
          </w:tcPr>
          <w:p w14:paraId="4904F3C9">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776ED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56DDE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57AC5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0" w:type="auto"/>
            <w:shd w:val="clear" w:color="auto" w:fill="auto"/>
            <w:noWrap/>
            <w:vAlign w:val="center"/>
          </w:tcPr>
          <w:p w14:paraId="0BA78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vAlign w:val="center"/>
          </w:tcPr>
          <w:p w14:paraId="616415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立屏展架</w:t>
            </w:r>
          </w:p>
        </w:tc>
        <w:tc>
          <w:tcPr>
            <w:tcW w:w="0" w:type="auto"/>
            <w:shd w:val="clear" w:color="auto" w:fill="auto"/>
            <w:vAlign w:val="center"/>
          </w:tcPr>
          <w:p w14:paraId="1EC37E9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（1）规格：整体尺寸：宽0.8m*高2m；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（2）材质：铝合金框架+金属底座，画面KT板过膜；</w:t>
            </w:r>
          </w:p>
        </w:tc>
        <w:tc>
          <w:tcPr>
            <w:tcW w:w="0" w:type="auto"/>
            <w:shd w:val="clear" w:color="auto" w:fill="auto"/>
            <w:vAlign w:val="center"/>
          </w:tcPr>
          <w:p w14:paraId="76EAC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0" w:type="auto"/>
            <w:shd w:val="clear" w:color="auto" w:fill="auto"/>
            <w:noWrap/>
            <w:vAlign w:val="center"/>
          </w:tcPr>
          <w:p w14:paraId="4AECD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shd w:val="clear" w:color="auto" w:fill="auto"/>
            <w:noWrap/>
            <w:vAlign w:val="center"/>
          </w:tcPr>
          <w:p w14:paraId="3D26E2F0">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0E533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29918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7FDD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0" w:type="auto"/>
            <w:shd w:val="clear" w:color="auto" w:fill="auto"/>
            <w:noWrap/>
            <w:vAlign w:val="center"/>
          </w:tcPr>
          <w:p w14:paraId="2F500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noWrap/>
            <w:vAlign w:val="center"/>
          </w:tcPr>
          <w:p w14:paraId="222EDA2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主题条幅</w:t>
            </w:r>
          </w:p>
        </w:tc>
        <w:tc>
          <w:tcPr>
            <w:tcW w:w="0" w:type="auto"/>
            <w:shd w:val="clear" w:color="auto" w:fill="auto"/>
            <w:vAlign w:val="center"/>
          </w:tcPr>
          <w:p w14:paraId="1BA22C4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（1）规格：宽0.9m*长20m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（2）材质：红绸条幅+热转印文字，两端加固绑带；</w:t>
            </w:r>
          </w:p>
        </w:tc>
        <w:tc>
          <w:tcPr>
            <w:tcW w:w="0" w:type="auto"/>
            <w:shd w:val="clear" w:color="auto" w:fill="auto"/>
            <w:vAlign w:val="center"/>
          </w:tcPr>
          <w:p w14:paraId="41540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0" w:type="auto"/>
            <w:shd w:val="clear" w:color="auto" w:fill="auto"/>
            <w:noWrap/>
            <w:vAlign w:val="center"/>
          </w:tcPr>
          <w:p w14:paraId="24721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shd w:val="clear" w:color="auto" w:fill="auto"/>
            <w:vAlign w:val="center"/>
          </w:tcPr>
          <w:p w14:paraId="6C43BB98">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32B9F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0C2EE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1F4C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0" w:type="auto"/>
            <w:shd w:val="clear" w:color="auto" w:fill="auto"/>
            <w:noWrap/>
            <w:vAlign w:val="center"/>
          </w:tcPr>
          <w:p w14:paraId="67093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noWrap/>
            <w:vAlign w:val="center"/>
          </w:tcPr>
          <w:p w14:paraId="0B6E1D1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遮阳棚</w:t>
            </w:r>
          </w:p>
        </w:tc>
        <w:tc>
          <w:tcPr>
            <w:tcW w:w="0" w:type="auto"/>
            <w:shd w:val="clear" w:color="auto" w:fill="auto"/>
            <w:vAlign w:val="center"/>
          </w:tcPr>
          <w:p w14:paraId="2E23FF9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（1）规格：3m*3m；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（2）材质：钢结构可伸缩框架，蓝色防晒遮雨顶棚，配套四角固定装置；</w:t>
            </w:r>
          </w:p>
        </w:tc>
        <w:tc>
          <w:tcPr>
            <w:tcW w:w="0" w:type="auto"/>
            <w:shd w:val="clear" w:color="auto" w:fill="auto"/>
            <w:vAlign w:val="center"/>
          </w:tcPr>
          <w:p w14:paraId="7B4A1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0" w:type="auto"/>
            <w:shd w:val="clear" w:color="auto" w:fill="auto"/>
            <w:noWrap/>
            <w:vAlign w:val="center"/>
          </w:tcPr>
          <w:p w14:paraId="4017E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shd w:val="clear" w:color="auto" w:fill="auto"/>
            <w:vAlign w:val="center"/>
          </w:tcPr>
          <w:p w14:paraId="59761D23">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2CD79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70844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3E3F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0" w:type="auto"/>
            <w:shd w:val="clear" w:color="auto" w:fill="auto"/>
            <w:noWrap/>
            <w:vAlign w:val="center"/>
          </w:tcPr>
          <w:p w14:paraId="33157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shd w:val="clear" w:color="auto" w:fill="auto"/>
            <w:noWrap/>
            <w:vAlign w:val="center"/>
          </w:tcPr>
          <w:p w14:paraId="4E7ED5F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施工围挡画面</w:t>
            </w:r>
          </w:p>
        </w:tc>
        <w:tc>
          <w:tcPr>
            <w:tcW w:w="0" w:type="auto"/>
            <w:shd w:val="clear" w:color="auto" w:fill="auto"/>
            <w:noWrap/>
            <w:vAlign w:val="center"/>
          </w:tcPr>
          <w:p w14:paraId="25A9A23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喷绘布，现场安装固定；</w:t>
            </w:r>
          </w:p>
        </w:tc>
        <w:tc>
          <w:tcPr>
            <w:tcW w:w="0" w:type="auto"/>
            <w:shd w:val="clear" w:color="auto" w:fill="auto"/>
            <w:vAlign w:val="center"/>
          </w:tcPr>
          <w:p w14:paraId="0FD42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 </w:t>
            </w:r>
          </w:p>
        </w:tc>
        <w:tc>
          <w:tcPr>
            <w:tcW w:w="0" w:type="auto"/>
            <w:shd w:val="clear" w:color="auto" w:fill="auto"/>
            <w:noWrap/>
            <w:vAlign w:val="center"/>
          </w:tcPr>
          <w:p w14:paraId="557E6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shd w:val="clear" w:color="auto" w:fill="auto"/>
            <w:vAlign w:val="center"/>
          </w:tcPr>
          <w:p w14:paraId="67599D89">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1A7F7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4A359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055D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0" w:type="auto"/>
            <w:shd w:val="clear" w:color="auto" w:fill="auto"/>
            <w:noWrap/>
            <w:vAlign w:val="center"/>
          </w:tcPr>
          <w:p w14:paraId="5E1CB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shd w:val="clear" w:color="auto" w:fill="auto"/>
            <w:noWrap/>
            <w:vAlign w:val="center"/>
          </w:tcPr>
          <w:p w14:paraId="6467350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不间断电源保障设备</w:t>
            </w:r>
          </w:p>
        </w:tc>
        <w:tc>
          <w:tcPr>
            <w:tcW w:w="0" w:type="auto"/>
            <w:shd w:val="clear" w:color="auto" w:fill="auto"/>
            <w:noWrap/>
            <w:vAlign w:val="center"/>
          </w:tcPr>
          <w:p w14:paraId="0E1A913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展会级UPS不间断电源</w:t>
            </w:r>
          </w:p>
        </w:tc>
        <w:tc>
          <w:tcPr>
            <w:tcW w:w="0" w:type="auto"/>
            <w:shd w:val="clear" w:color="auto" w:fill="auto"/>
            <w:vAlign w:val="center"/>
          </w:tcPr>
          <w:p w14:paraId="5B40C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shd w:val="clear" w:color="auto" w:fill="auto"/>
            <w:noWrap/>
            <w:vAlign w:val="center"/>
          </w:tcPr>
          <w:p w14:paraId="6C61A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shd w:val="clear" w:color="auto" w:fill="auto"/>
            <w:vAlign w:val="center"/>
          </w:tcPr>
          <w:p w14:paraId="4928D2F3">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2F083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2906AE52">
            <w:pPr>
              <w:jc w:val="center"/>
              <w:rPr>
                <w:rFonts w:hint="eastAsia" w:ascii="宋体" w:hAnsi="宋体" w:eastAsia="宋体" w:cs="宋体"/>
                <w:i w:val="0"/>
                <w:iCs w:val="0"/>
                <w:color w:val="000000"/>
                <w:sz w:val="22"/>
                <w:szCs w:val="22"/>
                <w:u w:val="none"/>
              </w:rPr>
            </w:pPr>
          </w:p>
        </w:tc>
      </w:tr>
      <w:tr w14:paraId="77EF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0" w:type="auto"/>
            <w:gridSpan w:val="3"/>
            <w:shd w:val="clear" w:color="auto" w:fill="auto"/>
            <w:noWrap/>
            <w:vAlign w:val="center"/>
          </w:tcPr>
          <w:p w14:paraId="1539AC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shd w:val="clear" w:color="auto" w:fill="auto"/>
            <w:vAlign w:val="center"/>
          </w:tcPr>
          <w:p w14:paraId="13D95C66">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01D0FD14">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1D1D2C14">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524D56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0.00 </w:t>
            </w:r>
          </w:p>
        </w:tc>
        <w:tc>
          <w:tcPr>
            <w:tcW w:w="0" w:type="auto"/>
            <w:shd w:val="clear" w:color="auto" w:fill="auto"/>
            <w:vAlign w:val="center"/>
          </w:tcPr>
          <w:p w14:paraId="400223FA">
            <w:pPr>
              <w:jc w:val="center"/>
              <w:rPr>
                <w:rFonts w:hint="eastAsia" w:ascii="宋体" w:hAnsi="宋体" w:eastAsia="宋体" w:cs="宋体"/>
                <w:i w:val="0"/>
                <w:iCs w:val="0"/>
                <w:color w:val="000000"/>
                <w:sz w:val="22"/>
                <w:szCs w:val="22"/>
                <w:u w:val="none"/>
              </w:rPr>
            </w:pPr>
          </w:p>
        </w:tc>
      </w:tr>
      <w:tr w14:paraId="41E1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0" w:type="auto"/>
            <w:gridSpan w:val="8"/>
            <w:shd w:val="clear" w:color="auto" w:fill="auto"/>
            <w:vAlign w:val="center"/>
          </w:tcPr>
          <w:p w14:paraId="4F8F422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人员配置</w:t>
            </w:r>
          </w:p>
        </w:tc>
      </w:tr>
      <w:tr w14:paraId="0E65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0" w:type="auto"/>
            <w:shd w:val="clear" w:color="auto" w:fill="auto"/>
            <w:noWrap/>
            <w:vAlign w:val="center"/>
          </w:tcPr>
          <w:p w14:paraId="0A4AD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vAlign w:val="center"/>
          </w:tcPr>
          <w:p w14:paraId="1AB3BB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会务工作人员</w:t>
            </w:r>
          </w:p>
        </w:tc>
        <w:tc>
          <w:tcPr>
            <w:tcW w:w="0" w:type="auto"/>
            <w:shd w:val="clear" w:color="auto" w:fill="auto"/>
            <w:vAlign w:val="center"/>
          </w:tcPr>
          <w:p w14:paraId="683D65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专业服务团队，含会场动线引导和接待，统一制服与标准化服务流程；</w:t>
            </w:r>
          </w:p>
        </w:tc>
        <w:tc>
          <w:tcPr>
            <w:tcW w:w="0" w:type="auto"/>
            <w:shd w:val="clear" w:color="auto" w:fill="auto"/>
            <w:vAlign w:val="center"/>
          </w:tcPr>
          <w:p w14:paraId="0C275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 </w:t>
            </w:r>
          </w:p>
        </w:tc>
        <w:tc>
          <w:tcPr>
            <w:tcW w:w="0" w:type="auto"/>
            <w:shd w:val="clear" w:color="auto" w:fill="auto"/>
            <w:noWrap/>
            <w:vAlign w:val="center"/>
          </w:tcPr>
          <w:p w14:paraId="08003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shd w:val="clear" w:color="auto" w:fill="auto"/>
            <w:vAlign w:val="center"/>
          </w:tcPr>
          <w:p w14:paraId="180EE566">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38D58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7ED6A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24FB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0" w:type="auto"/>
            <w:shd w:val="clear" w:color="auto" w:fill="auto"/>
            <w:noWrap/>
            <w:vAlign w:val="center"/>
          </w:tcPr>
          <w:p w14:paraId="620C1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14:paraId="409761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摄影摄像</w:t>
            </w:r>
          </w:p>
        </w:tc>
        <w:tc>
          <w:tcPr>
            <w:tcW w:w="0" w:type="auto"/>
            <w:shd w:val="clear" w:color="auto" w:fill="auto"/>
            <w:vAlign w:val="center"/>
          </w:tcPr>
          <w:p w14:paraId="30E0BA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摄影师+助理，配备全画幅单反、摄像机；配套现场控屏+素材实时备份；</w:t>
            </w:r>
          </w:p>
        </w:tc>
        <w:tc>
          <w:tcPr>
            <w:tcW w:w="0" w:type="auto"/>
            <w:shd w:val="clear" w:color="auto" w:fill="auto"/>
            <w:vAlign w:val="center"/>
          </w:tcPr>
          <w:p w14:paraId="21F13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shd w:val="clear" w:color="auto" w:fill="auto"/>
            <w:noWrap/>
            <w:vAlign w:val="center"/>
          </w:tcPr>
          <w:p w14:paraId="6702E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shd w:val="clear" w:color="auto" w:fill="auto"/>
            <w:vAlign w:val="center"/>
          </w:tcPr>
          <w:p w14:paraId="3C114FEC">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19CC4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2E32B357">
            <w:pPr>
              <w:jc w:val="center"/>
              <w:rPr>
                <w:rFonts w:hint="eastAsia" w:ascii="宋体" w:hAnsi="宋体" w:eastAsia="宋体" w:cs="宋体"/>
                <w:i w:val="0"/>
                <w:iCs w:val="0"/>
                <w:color w:val="000000"/>
                <w:sz w:val="22"/>
                <w:szCs w:val="22"/>
                <w:u w:val="none"/>
              </w:rPr>
            </w:pPr>
          </w:p>
        </w:tc>
      </w:tr>
      <w:tr w14:paraId="71AA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0" w:type="auto"/>
            <w:shd w:val="clear" w:color="auto" w:fill="auto"/>
            <w:noWrap/>
            <w:vAlign w:val="center"/>
          </w:tcPr>
          <w:p w14:paraId="10A86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vAlign w:val="center"/>
          </w:tcPr>
          <w:p w14:paraId="410628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车辆配置-5座轿车</w:t>
            </w:r>
          </w:p>
        </w:tc>
        <w:tc>
          <w:tcPr>
            <w:tcW w:w="0" w:type="auto"/>
            <w:shd w:val="clear" w:color="auto" w:fill="auto"/>
            <w:vAlign w:val="center"/>
          </w:tcPr>
          <w:p w14:paraId="144E4E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（1）车型：5座轿车；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（2）配置：每车配备专职司机1名；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（3）服务内容：会务当天嘉宾接送；</w:t>
            </w:r>
          </w:p>
        </w:tc>
        <w:tc>
          <w:tcPr>
            <w:tcW w:w="0" w:type="auto"/>
            <w:shd w:val="clear" w:color="auto" w:fill="auto"/>
            <w:vAlign w:val="center"/>
          </w:tcPr>
          <w:p w14:paraId="581F3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0" w:type="auto"/>
            <w:shd w:val="clear" w:color="auto" w:fill="auto"/>
            <w:noWrap/>
            <w:vAlign w:val="center"/>
          </w:tcPr>
          <w:p w14:paraId="3046D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0" w:type="auto"/>
            <w:shd w:val="clear" w:color="auto" w:fill="auto"/>
            <w:vAlign w:val="center"/>
          </w:tcPr>
          <w:p w14:paraId="783582A0">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08E04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70736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7D10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0" w:type="auto"/>
            <w:shd w:val="clear" w:color="auto" w:fill="auto"/>
            <w:noWrap/>
            <w:vAlign w:val="center"/>
          </w:tcPr>
          <w:p w14:paraId="0DB23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vAlign w:val="center"/>
          </w:tcPr>
          <w:p w14:paraId="5EC82E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车辆配置-7座商务车</w:t>
            </w:r>
          </w:p>
        </w:tc>
        <w:tc>
          <w:tcPr>
            <w:tcW w:w="0" w:type="auto"/>
            <w:shd w:val="clear" w:color="auto" w:fill="auto"/>
            <w:vAlign w:val="center"/>
          </w:tcPr>
          <w:p w14:paraId="156280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（1）车型：7座商务车；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（2）配置：每车配备专职司机1名；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（3）服务内容：会务当天嘉宾接送；</w:t>
            </w:r>
          </w:p>
        </w:tc>
        <w:tc>
          <w:tcPr>
            <w:tcW w:w="0" w:type="auto"/>
            <w:shd w:val="clear" w:color="auto" w:fill="auto"/>
            <w:vAlign w:val="center"/>
          </w:tcPr>
          <w:p w14:paraId="0E228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0" w:type="auto"/>
            <w:shd w:val="clear" w:color="auto" w:fill="auto"/>
            <w:noWrap/>
            <w:vAlign w:val="center"/>
          </w:tcPr>
          <w:p w14:paraId="4535A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0" w:type="auto"/>
            <w:shd w:val="clear" w:color="auto" w:fill="auto"/>
            <w:vAlign w:val="center"/>
          </w:tcPr>
          <w:p w14:paraId="78ADF4CC">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6C947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71852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1188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0" w:type="auto"/>
            <w:shd w:val="clear" w:color="auto" w:fill="auto"/>
            <w:noWrap/>
            <w:vAlign w:val="center"/>
          </w:tcPr>
          <w:p w14:paraId="1ADE1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shd w:val="clear" w:color="auto" w:fill="auto"/>
            <w:vAlign w:val="center"/>
          </w:tcPr>
          <w:p w14:paraId="6695B2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车辆配置-18座中巴车</w:t>
            </w:r>
          </w:p>
        </w:tc>
        <w:tc>
          <w:tcPr>
            <w:tcW w:w="0" w:type="auto"/>
            <w:shd w:val="clear" w:color="auto" w:fill="auto"/>
            <w:vAlign w:val="center"/>
          </w:tcPr>
          <w:p w14:paraId="75B334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（1）车型：18座中巴车；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（2）配置：每车配备专职司机1名；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（3）服务内容：会务当天嘉宾接送；</w:t>
            </w:r>
          </w:p>
        </w:tc>
        <w:tc>
          <w:tcPr>
            <w:tcW w:w="0" w:type="auto"/>
            <w:shd w:val="clear" w:color="auto" w:fill="auto"/>
            <w:vAlign w:val="center"/>
          </w:tcPr>
          <w:p w14:paraId="30F15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shd w:val="clear" w:color="auto" w:fill="auto"/>
            <w:noWrap/>
            <w:vAlign w:val="center"/>
          </w:tcPr>
          <w:p w14:paraId="7CD76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0" w:type="auto"/>
            <w:shd w:val="clear" w:color="auto" w:fill="auto"/>
            <w:vAlign w:val="center"/>
          </w:tcPr>
          <w:p w14:paraId="69E98A75">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7EA14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1933D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6E6C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0" w:type="auto"/>
            <w:shd w:val="clear" w:color="auto" w:fill="auto"/>
            <w:noWrap/>
            <w:vAlign w:val="center"/>
          </w:tcPr>
          <w:p w14:paraId="128F4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shd w:val="clear" w:color="auto" w:fill="auto"/>
            <w:noWrap/>
            <w:vAlign w:val="center"/>
          </w:tcPr>
          <w:p w14:paraId="7A2D37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直播媒体</w:t>
            </w:r>
          </w:p>
        </w:tc>
        <w:tc>
          <w:tcPr>
            <w:tcW w:w="0" w:type="auto"/>
            <w:shd w:val="clear" w:color="auto" w:fill="auto"/>
            <w:vAlign w:val="center"/>
          </w:tcPr>
          <w:p w14:paraId="474E2F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广播级高清设备，平台二选一：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1.广西电视台；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2.广西日报社；</w:t>
            </w:r>
          </w:p>
        </w:tc>
        <w:tc>
          <w:tcPr>
            <w:tcW w:w="0" w:type="auto"/>
            <w:shd w:val="clear" w:color="auto" w:fill="auto"/>
            <w:vAlign w:val="center"/>
          </w:tcPr>
          <w:p w14:paraId="44A75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shd w:val="clear" w:color="auto" w:fill="auto"/>
            <w:noWrap/>
            <w:vAlign w:val="center"/>
          </w:tcPr>
          <w:p w14:paraId="2EC63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shd w:val="clear" w:color="auto" w:fill="auto"/>
            <w:vAlign w:val="center"/>
          </w:tcPr>
          <w:p w14:paraId="7232D50D">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5587B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0477328B">
            <w:pPr>
              <w:jc w:val="center"/>
              <w:rPr>
                <w:rFonts w:hint="eastAsia" w:ascii="宋体" w:hAnsi="宋体" w:eastAsia="宋体" w:cs="宋体"/>
                <w:i w:val="0"/>
                <w:iCs w:val="0"/>
                <w:color w:val="000000"/>
                <w:sz w:val="22"/>
                <w:szCs w:val="22"/>
                <w:u w:val="none"/>
              </w:rPr>
            </w:pPr>
          </w:p>
        </w:tc>
      </w:tr>
      <w:tr w14:paraId="1EF0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14:paraId="7081C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shd w:val="clear" w:color="auto" w:fill="auto"/>
            <w:noWrap/>
            <w:vAlign w:val="center"/>
          </w:tcPr>
          <w:p w14:paraId="6697F7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现场彩排</w:t>
            </w:r>
          </w:p>
        </w:tc>
        <w:tc>
          <w:tcPr>
            <w:tcW w:w="0" w:type="auto"/>
            <w:shd w:val="clear" w:color="auto" w:fill="auto"/>
            <w:vAlign w:val="center"/>
          </w:tcPr>
          <w:p w14:paraId="7961BE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至少1次全流程彩排，基础走位和动线规划，设备联动调试和应急预案演练；</w:t>
            </w:r>
          </w:p>
        </w:tc>
        <w:tc>
          <w:tcPr>
            <w:tcW w:w="0" w:type="auto"/>
            <w:shd w:val="clear" w:color="auto" w:fill="auto"/>
            <w:vAlign w:val="center"/>
          </w:tcPr>
          <w:p w14:paraId="610A4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shd w:val="clear" w:color="auto" w:fill="auto"/>
            <w:noWrap/>
            <w:vAlign w:val="center"/>
          </w:tcPr>
          <w:p w14:paraId="3ADAD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shd w:val="clear" w:color="auto" w:fill="auto"/>
            <w:vAlign w:val="center"/>
          </w:tcPr>
          <w:p w14:paraId="6205070C">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0B844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4BC80615">
            <w:pPr>
              <w:jc w:val="center"/>
              <w:rPr>
                <w:rFonts w:hint="eastAsia" w:ascii="宋体" w:hAnsi="宋体" w:eastAsia="宋体" w:cs="宋体"/>
                <w:i w:val="0"/>
                <w:iCs w:val="0"/>
                <w:color w:val="000000"/>
                <w:sz w:val="22"/>
                <w:szCs w:val="22"/>
                <w:u w:val="none"/>
              </w:rPr>
            </w:pPr>
          </w:p>
        </w:tc>
      </w:tr>
      <w:tr w14:paraId="3E5E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14:paraId="12FDC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shd w:val="clear" w:color="auto" w:fill="auto"/>
            <w:noWrap/>
            <w:vAlign w:val="center"/>
          </w:tcPr>
          <w:p w14:paraId="698094C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现场物料安装及拆卸、搬运费</w:t>
            </w:r>
          </w:p>
        </w:tc>
        <w:tc>
          <w:tcPr>
            <w:tcW w:w="0" w:type="auto"/>
            <w:shd w:val="clear" w:color="auto" w:fill="auto"/>
            <w:vAlign w:val="center"/>
          </w:tcPr>
          <w:p w14:paraId="4D0D17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搭建团队，配套专业工具和安全防护；</w:t>
            </w:r>
          </w:p>
        </w:tc>
        <w:tc>
          <w:tcPr>
            <w:tcW w:w="0" w:type="auto"/>
            <w:shd w:val="clear" w:color="auto" w:fill="auto"/>
            <w:vAlign w:val="center"/>
          </w:tcPr>
          <w:p w14:paraId="2BE28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shd w:val="clear" w:color="auto" w:fill="auto"/>
            <w:noWrap/>
            <w:vAlign w:val="center"/>
          </w:tcPr>
          <w:p w14:paraId="48038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shd w:val="clear" w:color="auto" w:fill="auto"/>
            <w:vAlign w:val="center"/>
          </w:tcPr>
          <w:p w14:paraId="56A7D49C">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63841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77FA39BC">
            <w:pPr>
              <w:jc w:val="center"/>
              <w:rPr>
                <w:rFonts w:hint="eastAsia" w:ascii="宋体" w:hAnsi="宋体" w:eastAsia="宋体" w:cs="宋体"/>
                <w:i w:val="0"/>
                <w:iCs w:val="0"/>
                <w:color w:val="000000"/>
                <w:sz w:val="22"/>
                <w:szCs w:val="22"/>
                <w:u w:val="none"/>
              </w:rPr>
            </w:pPr>
          </w:p>
        </w:tc>
      </w:tr>
      <w:tr w14:paraId="735B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0" w:type="auto"/>
            <w:gridSpan w:val="3"/>
            <w:shd w:val="clear" w:color="auto" w:fill="auto"/>
            <w:noWrap/>
            <w:vAlign w:val="center"/>
          </w:tcPr>
          <w:p w14:paraId="016FEE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shd w:val="clear" w:color="auto" w:fill="auto"/>
            <w:vAlign w:val="center"/>
          </w:tcPr>
          <w:p w14:paraId="2211C540">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4876FE10">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3FE8E9BB">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7D9219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0.00 </w:t>
            </w:r>
          </w:p>
        </w:tc>
        <w:tc>
          <w:tcPr>
            <w:tcW w:w="0" w:type="auto"/>
            <w:shd w:val="clear" w:color="auto" w:fill="auto"/>
            <w:noWrap/>
            <w:vAlign w:val="center"/>
          </w:tcPr>
          <w:p w14:paraId="1D09DE64">
            <w:pPr>
              <w:rPr>
                <w:rFonts w:hint="eastAsia" w:ascii="宋体" w:hAnsi="宋体" w:eastAsia="宋体" w:cs="宋体"/>
                <w:b/>
                <w:bCs/>
                <w:i w:val="0"/>
                <w:iCs w:val="0"/>
                <w:color w:val="000000"/>
                <w:sz w:val="22"/>
                <w:szCs w:val="22"/>
                <w:u w:val="none"/>
              </w:rPr>
            </w:pPr>
          </w:p>
        </w:tc>
      </w:tr>
      <w:tr w14:paraId="1EA3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0" w:type="auto"/>
            <w:gridSpan w:val="3"/>
            <w:shd w:val="clear" w:color="auto" w:fill="auto"/>
            <w:noWrap/>
            <w:vAlign w:val="center"/>
          </w:tcPr>
          <w:p w14:paraId="161048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w:t>
            </w:r>
          </w:p>
        </w:tc>
        <w:tc>
          <w:tcPr>
            <w:tcW w:w="0" w:type="auto"/>
            <w:shd w:val="clear" w:color="auto" w:fill="auto"/>
            <w:noWrap/>
            <w:vAlign w:val="center"/>
          </w:tcPr>
          <w:p w14:paraId="4A5DE825">
            <w:pPr>
              <w:jc w:val="left"/>
              <w:rPr>
                <w:rFonts w:hint="eastAsia" w:ascii="宋体" w:hAnsi="宋体" w:eastAsia="宋体" w:cs="宋体"/>
                <w:b/>
                <w:bCs/>
                <w:i w:val="0"/>
                <w:iCs w:val="0"/>
                <w:color w:val="000000"/>
                <w:sz w:val="22"/>
                <w:szCs w:val="22"/>
                <w:u w:val="none"/>
              </w:rPr>
            </w:pPr>
          </w:p>
        </w:tc>
        <w:tc>
          <w:tcPr>
            <w:tcW w:w="0" w:type="auto"/>
            <w:shd w:val="clear" w:color="auto" w:fill="auto"/>
            <w:noWrap/>
            <w:vAlign w:val="center"/>
          </w:tcPr>
          <w:p w14:paraId="39874722">
            <w:pPr>
              <w:jc w:val="left"/>
              <w:rPr>
                <w:rFonts w:hint="eastAsia" w:ascii="宋体" w:hAnsi="宋体" w:eastAsia="宋体" w:cs="宋体"/>
                <w:b/>
                <w:bCs/>
                <w:i w:val="0"/>
                <w:iCs w:val="0"/>
                <w:color w:val="000000"/>
                <w:sz w:val="22"/>
                <w:szCs w:val="22"/>
                <w:u w:val="none"/>
              </w:rPr>
            </w:pPr>
          </w:p>
        </w:tc>
        <w:tc>
          <w:tcPr>
            <w:tcW w:w="0" w:type="auto"/>
            <w:shd w:val="clear" w:color="auto" w:fill="auto"/>
            <w:noWrap/>
            <w:vAlign w:val="center"/>
          </w:tcPr>
          <w:p w14:paraId="6DFA2DE9">
            <w:pPr>
              <w:jc w:val="left"/>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4045AC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0.00 </w:t>
            </w:r>
          </w:p>
        </w:tc>
        <w:tc>
          <w:tcPr>
            <w:tcW w:w="0" w:type="auto"/>
            <w:shd w:val="clear" w:color="auto" w:fill="auto"/>
            <w:vAlign w:val="center"/>
          </w:tcPr>
          <w:p w14:paraId="6E110D01">
            <w:pPr>
              <w:jc w:val="center"/>
              <w:rPr>
                <w:rFonts w:hint="eastAsia" w:ascii="宋体" w:hAnsi="宋体" w:eastAsia="宋体" w:cs="宋体"/>
                <w:b/>
                <w:bCs/>
                <w:i w:val="0"/>
                <w:iCs w:val="0"/>
                <w:color w:val="000000"/>
                <w:sz w:val="22"/>
                <w:szCs w:val="22"/>
                <w:u w:val="none"/>
              </w:rPr>
            </w:pPr>
          </w:p>
        </w:tc>
      </w:tr>
      <w:tr w14:paraId="58A3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0" w:type="auto"/>
            <w:gridSpan w:val="8"/>
            <w:shd w:val="clear" w:color="auto" w:fill="auto"/>
            <w:noWrap/>
            <w:vAlign w:val="center"/>
          </w:tcPr>
          <w:p w14:paraId="54332281">
            <w:pPr>
              <w:jc w:val="both"/>
              <w:rPr>
                <w:rFonts w:hint="eastAsia" w:ascii="宋体" w:hAnsi="宋体" w:eastAsia="宋体" w:cs="宋体"/>
                <w:b/>
                <w:bCs/>
                <w:i w:val="0"/>
                <w:iCs w:val="0"/>
                <w:color w:val="000000"/>
                <w:sz w:val="22"/>
                <w:szCs w:val="22"/>
                <w:u w:val="none"/>
              </w:rPr>
            </w:pPr>
          </w:p>
          <w:p w14:paraId="3A886293">
            <w:pPr>
              <w:jc w:val="both"/>
              <w:rPr>
                <w:rFonts w:hint="eastAsia" w:ascii="宋体" w:hAnsi="宋体" w:eastAsia="宋体" w:cs="宋体"/>
                <w:b/>
                <w:bCs/>
                <w:i w:val="0"/>
                <w:iCs w:val="0"/>
                <w:color w:val="000000"/>
                <w:sz w:val="22"/>
                <w:szCs w:val="22"/>
                <w:u w:val="none"/>
              </w:rPr>
            </w:pPr>
          </w:p>
          <w:p w14:paraId="38E33220">
            <w:pPr>
              <w:jc w:val="both"/>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eastAsia="zh-CN"/>
              </w:rPr>
              <w:t>供应商名称：</w:t>
            </w:r>
            <w:r>
              <w:rPr>
                <w:rFonts w:hint="eastAsia" w:ascii="宋体" w:hAnsi="宋体" w:eastAsia="宋体" w:cs="宋体"/>
                <w:b/>
                <w:bCs/>
                <w:i w:val="0"/>
                <w:iCs w:val="0"/>
                <w:color w:val="000000"/>
                <w:sz w:val="22"/>
                <w:szCs w:val="22"/>
                <w:u w:val="none"/>
                <w:lang w:val="en-US" w:eastAsia="zh-CN"/>
              </w:rPr>
              <w:t>xx（公章）</w:t>
            </w:r>
          </w:p>
          <w:p w14:paraId="1421B766">
            <w:pPr>
              <w:jc w:val="both"/>
              <w:rPr>
                <w:rFonts w:hint="eastAsia" w:ascii="宋体" w:hAnsi="宋体" w:eastAsia="宋体" w:cs="宋体"/>
                <w:b/>
                <w:bCs/>
                <w:i w:val="0"/>
                <w:iCs w:val="0"/>
                <w:color w:val="000000"/>
                <w:sz w:val="22"/>
                <w:szCs w:val="22"/>
                <w:u w:val="none"/>
                <w:lang w:val="en-US" w:eastAsia="zh-CN"/>
              </w:rPr>
            </w:pPr>
          </w:p>
          <w:p w14:paraId="60D9CDBA">
            <w:pPr>
              <w:jc w:val="both"/>
              <w:rPr>
                <w:rFonts w:hint="default" w:ascii="宋体" w:hAnsi="宋体" w:eastAsia="宋体" w:cs="宋体"/>
                <w:b/>
                <w:bCs/>
                <w:i w:val="0"/>
                <w:iCs w:val="0"/>
                <w:color w:val="000000"/>
                <w:sz w:val="22"/>
                <w:szCs w:val="22"/>
                <w:u w:val="none"/>
                <w:lang w:val="en-US" w:eastAsia="zh-CN"/>
              </w:rPr>
            </w:pPr>
          </w:p>
        </w:tc>
      </w:tr>
    </w:tbl>
    <w:p w14:paraId="1EC7BB2C">
      <w:pPr>
        <w:rPr>
          <w:highlight w:val="none"/>
        </w:rPr>
        <w:sectPr>
          <w:pgSz w:w="11906" w:h="16838"/>
          <w:pgMar w:top="1418" w:right="1555" w:bottom="1418" w:left="1531" w:header="851" w:footer="992" w:gutter="0"/>
          <w:pgBorders>
            <w:top w:val="none" w:sz="0" w:space="0"/>
            <w:left w:val="none" w:sz="0" w:space="0"/>
            <w:bottom w:val="none" w:sz="0" w:space="0"/>
            <w:right w:val="none" w:sz="0" w:space="0"/>
          </w:pgBorders>
          <w:pgNumType w:start="0"/>
          <w:cols w:space="720" w:num="1"/>
          <w:titlePg/>
          <w:docGrid w:type="lines" w:linePitch="312" w:charSpace="0"/>
        </w:sectPr>
      </w:pPr>
    </w:p>
    <w:p w14:paraId="34E099D5">
      <w:pPr>
        <w:snapToGrid w:val="0"/>
        <w:spacing w:before="50" w:afterLines="50"/>
        <w:jc w:val="center"/>
        <w:rPr>
          <w:rFonts w:ascii="宋体" w:hAnsi="宋体" w:cs="宋体"/>
          <w:b/>
          <w:color w:val="000000"/>
          <w:sz w:val="32"/>
          <w:szCs w:val="32"/>
          <w:highlight w:val="none"/>
        </w:rPr>
      </w:pPr>
      <w:r>
        <w:rPr>
          <w:rFonts w:hint="eastAsia" w:ascii="宋体" w:hAnsi="宋体" w:cs="宋体"/>
          <w:b/>
          <w:color w:val="000000"/>
          <w:sz w:val="32"/>
          <w:szCs w:val="32"/>
          <w:highlight w:val="none"/>
        </w:rPr>
        <w:t>声明函</w:t>
      </w:r>
    </w:p>
    <w:p w14:paraId="022EFE03">
      <w:pPr>
        <w:tabs>
          <w:tab w:val="left" w:pos="7200"/>
        </w:tabs>
        <w:spacing w:line="360" w:lineRule="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致：_</w:t>
      </w:r>
      <w:r>
        <w:rPr>
          <w:rFonts w:hint="eastAsia" w:ascii="宋体" w:hAnsi="宋体" w:cs="宋体"/>
          <w:color w:val="000000"/>
          <w:szCs w:val="21"/>
          <w:highlight w:val="none"/>
          <w:u w:val="single"/>
        </w:rPr>
        <w:t>广西医科大学第一附属医院</w:t>
      </w:r>
    </w:p>
    <w:p w14:paraId="065FB0B6">
      <w:pPr>
        <w:snapToGrid w:val="0"/>
        <w:ind w:firstLine="420" w:firstLineChars="200"/>
        <w:jc w:val="left"/>
        <w:rPr>
          <w:b/>
          <w:bCs/>
          <w:color w:val="000000"/>
          <w:szCs w:val="21"/>
          <w:highlight w:val="none"/>
          <w:u w:val="single"/>
        </w:rPr>
      </w:pPr>
      <w:r>
        <w:rPr>
          <w:rFonts w:hint="eastAsia" w:ascii="宋体" w:hAnsi="宋体" w:cs="宋体"/>
          <w:color w:val="000000"/>
          <w:szCs w:val="21"/>
          <w:highlight w:val="none"/>
        </w:rPr>
        <w:t>我方愿意参加贵方组织的</w:t>
      </w:r>
      <w:r>
        <w:rPr>
          <w:rFonts w:hint="eastAsia"/>
          <w:b/>
          <w:bCs/>
          <w:color w:val="000000"/>
          <w:szCs w:val="21"/>
          <w:highlight w:val="none"/>
          <w:u w:val="single"/>
          <w:lang w:eastAsia="zh-CN"/>
        </w:rPr>
        <w:t>中国-东盟医疗保健合作中心(广西)启用仪式会务服务</w:t>
      </w:r>
      <w:r>
        <w:rPr>
          <w:rFonts w:hint="eastAsia" w:ascii="宋体" w:hAnsi="宋体" w:cs="宋体"/>
          <w:color w:val="000000"/>
          <w:szCs w:val="21"/>
          <w:highlight w:val="none"/>
        </w:rPr>
        <w:t>项目的竞标，为便于贵方公正、择优地确定成交人，我方声明如下：</w:t>
      </w:r>
    </w:p>
    <w:p w14:paraId="23DC8C17">
      <w:pPr>
        <w:snapToGrid w:val="0"/>
        <w:spacing w:line="360" w:lineRule="auto"/>
        <w:ind w:firstLine="420" w:firstLineChars="200"/>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1.我方不是为本次采购项目提供整体设计、规范编制或者项目管理、监理、检测等货物的供应商；在获知本项目采购信息后，与采购人聘请的为此项目提供咨询货物的公司及其附属机构没有任何联系。其他关系详见“公司直接控股股东信息表”、“公司直接管理关系信息表”。</w:t>
      </w:r>
    </w:p>
    <w:p w14:paraId="6E8C3F35">
      <w:pPr>
        <w:snapToGrid w:val="0"/>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2.经查询，在“信用中国”和“中国政府采购网”网站我方未被列入失信被执行人、重大税收违法案件当事人名单、政府采购严重违法失信行为记录名单。</w:t>
      </w:r>
    </w:p>
    <w:p w14:paraId="31CC5BB1">
      <w:pPr>
        <w:pStyle w:val="16"/>
        <w:spacing w:after="120"/>
        <w:ind w:firstLine="420" w:firstLineChars="200"/>
        <w:rPr>
          <w:rFonts w:hint="eastAsia" w:eastAsia="宋体" w:cs="宋体"/>
          <w:color w:val="000000"/>
          <w:szCs w:val="21"/>
          <w:highlight w:val="none"/>
          <w:lang w:eastAsia="zh-CN"/>
        </w:rPr>
      </w:pPr>
      <w:r>
        <w:rPr>
          <w:rFonts w:cs="宋体"/>
          <w:color w:val="000000"/>
          <w:sz w:val="21"/>
          <w:szCs w:val="21"/>
          <w:highlight w:val="none"/>
        </w:rPr>
        <w:t>3</w:t>
      </w:r>
      <w:r>
        <w:rPr>
          <w:rFonts w:hint="eastAsia" w:cs="宋体"/>
          <w:color w:val="000000"/>
          <w:sz w:val="21"/>
          <w:szCs w:val="21"/>
          <w:highlight w:val="none"/>
        </w:rPr>
        <w:t>、我方有以下行为之一的，同意贵方将我方列入不良行为记录：</w:t>
      </w:r>
    </w:p>
    <w:p w14:paraId="0D1A56F2">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1)</w:t>
      </w:r>
      <w:r>
        <w:rPr>
          <w:rFonts w:cs="宋体"/>
          <w:color w:val="000000"/>
          <w:sz w:val="21"/>
          <w:szCs w:val="21"/>
          <w:highlight w:val="none"/>
        </w:rPr>
        <w:tab/>
      </w:r>
      <w:r>
        <w:rPr>
          <w:rFonts w:hint="eastAsia" w:cs="宋体"/>
          <w:color w:val="000000"/>
          <w:sz w:val="21"/>
          <w:szCs w:val="21"/>
          <w:highlight w:val="none"/>
        </w:rPr>
        <w:t>提供虚假材料谋取中标、成交的。</w:t>
      </w:r>
    </w:p>
    <w:p w14:paraId="7A74BDF3">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2)</w:t>
      </w:r>
      <w:r>
        <w:rPr>
          <w:rFonts w:cs="宋体"/>
          <w:color w:val="000000"/>
          <w:sz w:val="21"/>
          <w:szCs w:val="21"/>
          <w:highlight w:val="none"/>
        </w:rPr>
        <w:tab/>
      </w:r>
      <w:r>
        <w:rPr>
          <w:rFonts w:hint="eastAsia" w:cs="宋体"/>
          <w:color w:val="000000"/>
          <w:sz w:val="21"/>
          <w:szCs w:val="21"/>
          <w:highlight w:val="none"/>
        </w:rPr>
        <w:t>采取不正当手段诋毁、排挤其他供应商的。</w:t>
      </w:r>
    </w:p>
    <w:p w14:paraId="3F5A5201">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3)</w:t>
      </w:r>
      <w:r>
        <w:rPr>
          <w:rFonts w:cs="宋体"/>
          <w:color w:val="000000"/>
          <w:sz w:val="21"/>
          <w:szCs w:val="21"/>
          <w:highlight w:val="none"/>
        </w:rPr>
        <w:tab/>
      </w:r>
      <w:r>
        <w:rPr>
          <w:rFonts w:hint="eastAsia" w:cs="宋体"/>
          <w:color w:val="000000"/>
          <w:sz w:val="21"/>
          <w:szCs w:val="21"/>
          <w:highlight w:val="none"/>
        </w:rPr>
        <w:t>与我院工作人员、其他供应商或者招标代理机构恶意串通的。</w:t>
      </w:r>
    </w:p>
    <w:p w14:paraId="23776A35">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4)</w:t>
      </w:r>
      <w:r>
        <w:rPr>
          <w:rFonts w:cs="宋体"/>
          <w:color w:val="000000"/>
          <w:sz w:val="21"/>
          <w:szCs w:val="21"/>
          <w:highlight w:val="none"/>
        </w:rPr>
        <w:tab/>
      </w:r>
      <w:r>
        <w:rPr>
          <w:rFonts w:hint="eastAsia" w:cs="宋体"/>
          <w:color w:val="000000"/>
          <w:sz w:val="21"/>
          <w:szCs w:val="21"/>
          <w:highlight w:val="none"/>
        </w:rPr>
        <w:t>向我院工作人员、招标代理机构行贿或者提供其他不正当利益的。</w:t>
      </w:r>
    </w:p>
    <w:p w14:paraId="3125D3A0">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5)</w:t>
      </w:r>
      <w:r>
        <w:rPr>
          <w:rFonts w:cs="宋体"/>
          <w:color w:val="000000"/>
          <w:sz w:val="21"/>
          <w:szCs w:val="21"/>
          <w:highlight w:val="none"/>
        </w:rPr>
        <w:tab/>
      </w:r>
      <w:r>
        <w:rPr>
          <w:rFonts w:hint="eastAsia" w:cs="宋体"/>
          <w:color w:val="000000"/>
          <w:sz w:val="21"/>
          <w:szCs w:val="21"/>
          <w:highlight w:val="none"/>
        </w:rPr>
        <w:t>在招标采购过程中与采购人进行协商谈判的。</w:t>
      </w:r>
    </w:p>
    <w:p w14:paraId="5E4509DE">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6)</w:t>
      </w:r>
      <w:r>
        <w:rPr>
          <w:rFonts w:cs="宋体"/>
          <w:color w:val="000000"/>
          <w:sz w:val="21"/>
          <w:szCs w:val="21"/>
          <w:highlight w:val="none"/>
        </w:rPr>
        <w:tab/>
      </w:r>
      <w:r>
        <w:rPr>
          <w:rFonts w:hint="eastAsia" w:cs="宋体"/>
          <w:color w:val="000000"/>
          <w:sz w:val="21"/>
          <w:szCs w:val="21"/>
          <w:highlight w:val="none"/>
        </w:rPr>
        <w:t>拒绝有关部门监督检查或者提供虚假情况的。</w:t>
      </w:r>
    </w:p>
    <w:p w14:paraId="7E58CC83">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7)</w:t>
      </w:r>
      <w:r>
        <w:rPr>
          <w:rFonts w:cs="宋体"/>
          <w:color w:val="000000"/>
          <w:sz w:val="21"/>
          <w:szCs w:val="21"/>
          <w:highlight w:val="none"/>
        </w:rPr>
        <w:tab/>
      </w:r>
      <w:r>
        <w:rPr>
          <w:rFonts w:hint="eastAsia" w:cs="宋体"/>
          <w:color w:val="000000"/>
          <w:sz w:val="21"/>
          <w:szCs w:val="21"/>
          <w:highlight w:val="none"/>
        </w:rPr>
        <w:t>供应商向采购小组、竞争性谈判小组或者询价小组成员行贿或者提供其他不正当利益。</w:t>
      </w:r>
    </w:p>
    <w:p w14:paraId="546754DB">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8)</w:t>
      </w:r>
      <w:r>
        <w:rPr>
          <w:rFonts w:cs="宋体"/>
          <w:color w:val="000000"/>
          <w:sz w:val="21"/>
          <w:szCs w:val="21"/>
          <w:highlight w:val="none"/>
        </w:rPr>
        <w:tab/>
      </w:r>
      <w:r>
        <w:rPr>
          <w:rFonts w:hint="eastAsia" w:cs="宋体"/>
          <w:color w:val="000000"/>
          <w:sz w:val="21"/>
          <w:szCs w:val="21"/>
          <w:highlight w:val="none"/>
        </w:rPr>
        <w:t>中标或者成交后无正当理由拒不与我院签订采购合同。</w:t>
      </w:r>
    </w:p>
    <w:p w14:paraId="1E2EF8D0">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9)</w:t>
      </w:r>
      <w:r>
        <w:rPr>
          <w:rFonts w:cs="宋体"/>
          <w:color w:val="000000"/>
          <w:sz w:val="21"/>
          <w:szCs w:val="21"/>
          <w:highlight w:val="none"/>
        </w:rPr>
        <w:tab/>
      </w:r>
      <w:r>
        <w:rPr>
          <w:rFonts w:hint="eastAsia" w:cs="宋体"/>
          <w:color w:val="000000"/>
          <w:sz w:val="21"/>
          <w:szCs w:val="21"/>
          <w:highlight w:val="none"/>
        </w:rPr>
        <w:t>供应商将采购合同分包、转包（采购合同未禁止分包、转包的除外）。</w:t>
      </w:r>
    </w:p>
    <w:p w14:paraId="143B124D">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10)</w:t>
      </w:r>
      <w:r>
        <w:rPr>
          <w:rFonts w:cs="宋体"/>
          <w:color w:val="000000"/>
          <w:sz w:val="21"/>
          <w:szCs w:val="21"/>
          <w:highlight w:val="none"/>
        </w:rPr>
        <w:tab/>
      </w:r>
      <w:r>
        <w:rPr>
          <w:rFonts w:hint="eastAsia" w:cs="宋体"/>
          <w:color w:val="000000"/>
          <w:sz w:val="21"/>
          <w:szCs w:val="21"/>
          <w:highlight w:val="none"/>
        </w:rPr>
        <w:t>供应商提供假冒伪劣产品。</w:t>
      </w:r>
    </w:p>
    <w:p w14:paraId="7AE6F629">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11)</w:t>
      </w:r>
      <w:r>
        <w:rPr>
          <w:rFonts w:cs="宋体"/>
          <w:color w:val="000000"/>
          <w:sz w:val="21"/>
          <w:szCs w:val="21"/>
          <w:highlight w:val="none"/>
        </w:rPr>
        <w:tab/>
      </w:r>
      <w:r>
        <w:rPr>
          <w:rFonts w:hint="eastAsia" w:cs="宋体"/>
          <w:color w:val="000000"/>
          <w:sz w:val="21"/>
          <w:szCs w:val="21"/>
          <w:highlight w:val="none"/>
        </w:rPr>
        <w:t>供应商捏造事实、提供虚假材料或者以非法手段取得证明材料进行投诉的。</w:t>
      </w:r>
    </w:p>
    <w:p w14:paraId="3D6C229C">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12)</w:t>
      </w:r>
      <w:r>
        <w:rPr>
          <w:rFonts w:cs="宋体"/>
          <w:color w:val="000000"/>
          <w:sz w:val="21"/>
          <w:szCs w:val="21"/>
          <w:highlight w:val="none"/>
        </w:rPr>
        <w:tab/>
      </w:r>
      <w:r>
        <w:rPr>
          <w:rFonts w:hint="eastAsia" w:cs="宋体"/>
          <w:color w:val="000000"/>
          <w:sz w:val="21"/>
          <w:szCs w:val="21"/>
          <w:highlight w:val="none"/>
        </w:rPr>
        <w:t>供应商擅自变更、中止或者终止采购合同。</w:t>
      </w:r>
    </w:p>
    <w:p w14:paraId="77041322">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13)</w:t>
      </w:r>
      <w:r>
        <w:rPr>
          <w:rFonts w:cs="宋体"/>
          <w:color w:val="000000"/>
          <w:sz w:val="21"/>
          <w:szCs w:val="21"/>
          <w:highlight w:val="none"/>
        </w:rPr>
        <w:tab/>
      </w:r>
      <w:r>
        <w:rPr>
          <w:rFonts w:hint="eastAsia" w:cs="宋体"/>
          <w:color w:val="000000"/>
          <w:sz w:val="21"/>
          <w:szCs w:val="21"/>
          <w:highlight w:val="none"/>
        </w:rPr>
        <w:t>供应商直接或者间接从我院工作人员或者采购代理机构处获得其他供应商的相关情况并修改其报价文件或者响应文件。</w:t>
      </w:r>
    </w:p>
    <w:p w14:paraId="5999B701">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14)</w:t>
      </w:r>
      <w:r>
        <w:rPr>
          <w:rFonts w:cs="宋体"/>
          <w:color w:val="000000"/>
          <w:sz w:val="21"/>
          <w:szCs w:val="21"/>
          <w:highlight w:val="none"/>
        </w:rPr>
        <w:tab/>
      </w:r>
      <w:r>
        <w:rPr>
          <w:rFonts w:hint="eastAsia" w:cs="宋体"/>
          <w:color w:val="000000"/>
          <w:sz w:val="21"/>
          <w:szCs w:val="21"/>
          <w:highlight w:val="none"/>
        </w:rPr>
        <w:t>供应商按照我院或者采购代理机构的授意撤换、修改报价文件或者响应文件。</w:t>
      </w:r>
    </w:p>
    <w:p w14:paraId="605050D8">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15)</w:t>
      </w:r>
      <w:r>
        <w:rPr>
          <w:rFonts w:cs="宋体"/>
          <w:color w:val="000000"/>
          <w:sz w:val="21"/>
          <w:szCs w:val="21"/>
          <w:highlight w:val="none"/>
        </w:rPr>
        <w:tab/>
      </w:r>
      <w:r>
        <w:rPr>
          <w:rFonts w:hint="eastAsia" w:cs="宋体"/>
          <w:color w:val="000000"/>
          <w:sz w:val="21"/>
          <w:szCs w:val="21"/>
          <w:highlight w:val="none"/>
        </w:rPr>
        <w:t>供应商之间协商报价、技术方案等报价文件或者响应文件的实质性内容。</w:t>
      </w:r>
    </w:p>
    <w:p w14:paraId="29F71200">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16)</w:t>
      </w:r>
      <w:r>
        <w:rPr>
          <w:rFonts w:cs="宋体"/>
          <w:color w:val="000000"/>
          <w:sz w:val="21"/>
          <w:szCs w:val="21"/>
          <w:highlight w:val="none"/>
        </w:rPr>
        <w:tab/>
      </w:r>
      <w:r>
        <w:rPr>
          <w:rFonts w:hint="eastAsia" w:cs="宋体"/>
          <w:color w:val="000000"/>
          <w:sz w:val="21"/>
          <w:szCs w:val="21"/>
          <w:highlight w:val="none"/>
        </w:rPr>
        <w:t>属于同一集团、协会、商会等组织成员的供应商按照该组织要求协同参加采购活动。</w:t>
      </w:r>
    </w:p>
    <w:p w14:paraId="51F26395">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17)</w:t>
      </w:r>
      <w:r>
        <w:rPr>
          <w:rFonts w:cs="宋体"/>
          <w:color w:val="000000"/>
          <w:sz w:val="21"/>
          <w:szCs w:val="21"/>
          <w:highlight w:val="none"/>
        </w:rPr>
        <w:tab/>
      </w:r>
      <w:r>
        <w:rPr>
          <w:rFonts w:hint="eastAsia" w:cs="宋体"/>
          <w:color w:val="000000"/>
          <w:sz w:val="21"/>
          <w:szCs w:val="21"/>
          <w:highlight w:val="none"/>
        </w:rPr>
        <w:t>供应商之间事先约定由某一特定供应商中标、成交。</w:t>
      </w:r>
    </w:p>
    <w:p w14:paraId="2B60D933">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18)</w:t>
      </w:r>
      <w:r>
        <w:rPr>
          <w:rFonts w:cs="宋体"/>
          <w:color w:val="000000"/>
          <w:sz w:val="21"/>
          <w:szCs w:val="21"/>
          <w:highlight w:val="none"/>
        </w:rPr>
        <w:tab/>
      </w:r>
      <w:r>
        <w:rPr>
          <w:rFonts w:hint="eastAsia" w:cs="宋体"/>
          <w:color w:val="000000"/>
          <w:sz w:val="21"/>
          <w:szCs w:val="21"/>
          <w:highlight w:val="none"/>
        </w:rPr>
        <w:t>供应商之间商定部分供应商放弃参加采购活动或者放弃中标、成交。</w:t>
      </w:r>
    </w:p>
    <w:p w14:paraId="63B7A6F6">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19)</w:t>
      </w:r>
      <w:r>
        <w:rPr>
          <w:rFonts w:cs="宋体"/>
          <w:color w:val="000000"/>
          <w:sz w:val="21"/>
          <w:szCs w:val="21"/>
          <w:highlight w:val="none"/>
        </w:rPr>
        <w:tab/>
      </w:r>
      <w:r>
        <w:rPr>
          <w:rFonts w:hint="eastAsia" w:cs="宋体"/>
          <w:color w:val="000000"/>
          <w:sz w:val="21"/>
          <w:szCs w:val="21"/>
          <w:highlight w:val="none"/>
        </w:rPr>
        <w:t>供应商与我院或者采购代理机构之间、供应商相互之间，为谋求特定供应商中标、成交或者排斥其他供应商的其他串通行为。</w:t>
      </w:r>
    </w:p>
    <w:p w14:paraId="63B3FD91">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20)</w:t>
      </w:r>
      <w:r>
        <w:rPr>
          <w:rFonts w:cs="宋体"/>
          <w:color w:val="000000"/>
          <w:sz w:val="21"/>
          <w:szCs w:val="21"/>
          <w:highlight w:val="none"/>
        </w:rPr>
        <w:tab/>
      </w:r>
      <w:r>
        <w:rPr>
          <w:rFonts w:hint="eastAsia" w:cs="宋体"/>
          <w:color w:val="000000"/>
          <w:sz w:val="21"/>
          <w:szCs w:val="21"/>
          <w:highlight w:val="none"/>
        </w:rPr>
        <w:t>在购销活动中给予医务人员“红包”“回扣”“提成”或任何形式的不当利益的。</w:t>
      </w:r>
    </w:p>
    <w:p w14:paraId="5E744FAC">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21)</w:t>
      </w:r>
      <w:r>
        <w:rPr>
          <w:rFonts w:cs="宋体"/>
          <w:color w:val="000000"/>
          <w:sz w:val="21"/>
          <w:szCs w:val="21"/>
          <w:highlight w:val="none"/>
        </w:rPr>
        <w:tab/>
      </w:r>
      <w:r>
        <w:rPr>
          <w:rFonts w:hint="eastAsia" w:cs="宋体"/>
          <w:color w:val="000000"/>
          <w:sz w:val="21"/>
          <w:szCs w:val="21"/>
          <w:highlight w:val="none"/>
        </w:rPr>
        <w:t>所经销的货物质量有问题，且不积极配合医院相关部门处理的。</w:t>
      </w:r>
    </w:p>
    <w:p w14:paraId="113965E0">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22)</w:t>
      </w:r>
      <w:r>
        <w:rPr>
          <w:rFonts w:cs="宋体"/>
          <w:color w:val="000000"/>
          <w:sz w:val="21"/>
          <w:szCs w:val="21"/>
          <w:highlight w:val="none"/>
        </w:rPr>
        <w:tab/>
      </w:r>
      <w:r>
        <w:rPr>
          <w:rFonts w:hint="eastAsia" w:cs="宋体"/>
          <w:color w:val="000000"/>
          <w:sz w:val="21"/>
          <w:szCs w:val="21"/>
          <w:highlight w:val="none"/>
        </w:rPr>
        <w:t>违法广告宣传、促销、误导消费等不良行为的。</w:t>
      </w:r>
    </w:p>
    <w:p w14:paraId="29D1DA89">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23)</w:t>
      </w:r>
      <w:r>
        <w:rPr>
          <w:rFonts w:cs="宋体"/>
          <w:color w:val="000000"/>
          <w:sz w:val="21"/>
          <w:szCs w:val="21"/>
          <w:highlight w:val="none"/>
        </w:rPr>
        <w:tab/>
      </w:r>
      <w:r>
        <w:rPr>
          <w:rFonts w:hint="eastAsia" w:cs="宋体"/>
          <w:color w:val="000000"/>
          <w:sz w:val="21"/>
          <w:szCs w:val="21"/>
          <w:highlight w:val="none"/>
        </w:rPr>
        <w:t>不按约定时间配送药品、医疗器械、耗材，尤其是急救类用品，影响临床正常使用的。</w:t>
      </w:r>
    </w:p>
    <w:p w14:paraId="05EA6843">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24)</w:t>
      </w:r>
      <w:r>
        <w:rPr>
          <w:rFonts w:cs="宋体"/>
          <w:color w:val="000000"/>
          <w:sz w:val="21"/>
          <w:szCs w:val="21"/>
          <w:highlight w:val="none"/>
        </w:rPr>
        <w:tab/>
      </w:r>
      <w:r>
        <w:rPr>
          <w:rFonts w:hint="eastAsia" w:cs="宋体"/>
          <w:color w:val="000000"/>
          <w:sz w:val="21"/>
          <w:szCs w:val="21"/>
          <w:highlight w:val="none"/>
        </w:rPr>
        <w:t>在购销活动中不遵守保密规定、未经医院同意擅自将医院药品、医疗器械、耗材数据信息披露的。</w:t>
      </w:r>
    </w:p>
    <w:p w14:paraId="23134785">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25)</w:t>
      </w:r>
      <w:r>
        <w:rPr>
          <w:rFonts w:cs="宋体"/>
          <w:color w:val="000000"/>
          <w:sz w:val="21"/>
          <w:szCs w:val="21"/>
          <w:highlight w:val="none"/>
        </w:rPr>
        <w:tab/>
      </w:r>
      <w:r>
        <w:rPr>
          <w:rFonts w:hint="eastAsia" w:cs="宋体"/>
          <w:color w:val="000000"/>
          <w:sz w:val="21"/>
          <w:szCs w:val="21"/>
          <w:highlight w:val="none"/>
        </w:rPr>
        <w:t>药品价格变动未及时向医院书面反馈，给医院或患者造成损失的。</w:t>
      </w:r>
    </w:p>
    <w:p w14:paraId="69185337">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26)</w:t>
      </w:r>
      <w:r>
        <w:rPr>
          <w:rFonts w:cs="宋体"/>
          <w:color w:val="000000"/>
          <w:sz w:val="21"/>
          <w:szCs w:val="21"/>
          <w:highlight w:val="none"/>
        </w:rPr>
        <w:tab/>
      </w:r>
      <w:r>
        <w:rPr>
          <w:rFonts w:hint="eastAsia" w:cs="宋体"/>
          <w:color w:val="000000"/>
          <w:sz w:val="21"/>
          <w:szCs w:val="21"/>
          <w:highlight w:val="none"/>
        </w:rPr>
        <w:t>传播虚假信息，严重干扰医院正常工作程序，造成恶劣影响的。</w:t>
      </w:r>
    </w:p>
    <w:p w14:paraId="47AD46A2">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27)</w:t>
      </w:r>
      <w:r>
        <w:rPr>
          <w:rFonts w:cs="宋体"/>
          <w:color w:val="000000"/>
          <w:sz w:val="21"/>
          <w:szCs w:val="21"/>
          <w:highlight w:val="none"/>
        </w:rPr>
        <w:tab/>
      </w:r>
      <w:r>
        <w:rPr>
          <w:rFonts w:hint="eastAsia" w:cs="宋体"/>
          <w:color w:val="000000"/>
          <w:sz w:val="21"/>
          <w:szCs w:val="21"/>
          <w:highlight w:val="none"/>
        </w:rPr>
        <w:t>供应商与厂家恶意串通，故意提高药品、医疗器械、耗材供应价格的。</w:t>
      </w:r>
    </w:p>
    <w:p w14:paraId="26FEC25E">
      <w:pPr>
        <w:pStyle w:val="16"/>
        <w:spacing w:after="120"/>
        <w:ind w:left="420" w:leftChars="200" w:firstLine="420" w:firstLineChars="200"/>
        <w:rPr>
          <w:rFonts w:cs="宋体"/>
          <w:color w:val="000000"/>
          <w:szCs w:val="21"/>
          <w:highlight w:val="none"/>
        </w:rPr>
      </w:pPr>
      <w:r>
        <w:rPr>
          <w:rFonts w:cs="宋体"/>
          <w:color w:val="000000"/>
          <w:sz w:val="21"/>
          <w:szCs w:val="21"/>
          <w:highlight w:val="none"/>
        </w:rPr>
        <w:t>28)</w:t>
      </w:r>
      <w:r>
        <w:rPr>
          <w:rFonts w:cs="宋体"/>
          <w:color w:val="000000"/>
          <w:sz w:val="21"/>
          <w:szCs w:val="21"/>
          <w:highlight w:val="none"/>
        </w:rPr>
        <w:tab/>
      </w:r>
      <w:r>
        <w:rPr>
          <w:rFonts w:hint="eastAsia" w:cs="宋体"/>
          <w:color w:val="000000"/>
          <w:sz w:val="21"/>
          <w:szCs w:val="21"/>
          <w:highlight w:val="none"/>
        </w:rPr>
        <w:t>法规、规章规定的其他政府采购严重违法失信行为。</w:t>
      </w:r>
    </w:p>
    <w:p w14:paraId="4BD4ACF0">
      <w:pPr>
        <w:snapToGrid w:val="0"/>
        <w:spacing w:line="360" w:lineRule="auto"/>
        <w:ind w:firstLine="420" w:firstLineChars="200"/>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4.以上事项如有虚假或隐瞒，我方愿意承担一切后果，并不再寻求任何旨在减轻或免除法律责任的辩解。</w:t>
      </w:r>
    </w:p>
    <w:p w14:paraId="533906B4">
      <w:pPr>
        <w:snapToGrid w:val="0"/>
        <w:spacing w:before="50" w:afterLines="100" w:line="360" w:lineRule="auto"/>
        <w:ind w:left="7428" w:leftChars="2223" w:hanging="2760" w:hangingChars="1150"/>
        <w:jc w:val="left"/>
        <w:rPr>
          <w:rFonts w:ascii="宋体" w:hAnsi="宋体" w:cs="宋体"/>
          <w:color w:val="000000"/>
          <w:sz w:val="24"/>
          <w:highlight w:val="none"/>
        </w:rPr>
      </w:pPr>
    </w:p>
    <w:p w14:paraId="2097B36C">
      <w:pPr>
        <w:snapToGrid w:val="0"/>
        <w:spacing w:before="50" w:afterLines="100" w:line="360" w:lineRule="auto"/>
        <w:ind w:left="7428" w:leftChars="2223" w:hanging="2760" w:hangingChars="1150"/>
        <w:jc w:val="left"/>
        <w:rPr>
          <w:rFonts w:ascii="宋体" w:hAnsi="宋体" w:cs="宋体"/>
          <w:color w:val="000000"/>
          <w:sz w:val="24"/>
          <w:highlight w:val="none"/>
        </w:rPr>
      </w:pPr>
    </w:p>
    <w:p w14:paraId="7C24AABC">
      <w:pPr>
        <w:snapToGrid w:val="0"/>
        <w:spacing w:before="50" w:afterLines="100" w:line="360" w:lineRule="auto"/>
        <w:ind w:left="7428" w:leftChars="2223" w:hanging="2760" w:hangingChars="1150"/>
        <w:jc w:val="left"/>
        <w:rPr>
          <w:rFonts w:hint="eastAsia" w:ascii="宋体" w:hAnsi="宋体" w:eastAsia="宋体" w:cs="宋体"/>
          <w:color w:val="000000"/>
          <w:szCs w:val="21"/>
          <w:highlight w:val="none"/>
          <w:lang w:eastAsia="zh-CN"/>
        </w:rPr>
      </w:pPr>
      <w:r>
        <w:rPr>
          <w:rFonts w:hint="eastAsia" w:ascii="宋体" w:hAnsi="宋体" w:cs="宋体"/>
          <w:color w:val="000000"/>
          <w:kern w:val="0"/>
          <w:sz w:val="24"/>
          <w:highlight w:val="none"/>
          <w:lang w:val="zh-CN"/>
        </w:rPr>
        <w:t>供应商名称(公章)：</w:t>
      </w:r>
    </w:p>
    <w:p w14:paraId="20C9ABAD">
      <w:pPr>
        <w:snapToGrid w:val="0"/>
        <w:spacing w:before="50" w:afterLines="100" w:line="360" w:lineRule="auto"/>
        <w:ind w:left="7083" w:leftChars="2223" w:hanging="2415" w:hangingChars="1150"/>
        <w:jc w:val="left"/>
        <w:rPr>
          <w:rFonts w:ascii="宋体" w:hAnsi="宋体" w:cs="宋体"/>
          <w:color w:val="000000"/>
          <w:kern w:val="0"/>
          <w:sz w:val="24"/>
          <w:highlight w:val="none"/>
          <w:lang w:val="zh-CN"/>
        </w:rPr>
      </w:pPr>
      <w:r>
        <w:rPr>
          <w:rFonts w:hint="eastAsia" w:ascii="宋体" w:hAnsi="宋体" w:cs="宋体"/>
          <w:color w:val="000000"/>
          <w:szCs w:val="21"/>
          <w:highlight w:val="none"/>
        </w:rPr>
        <w:t>年月日</w:t>
      </w:r>
    </w:p>
    <w:p w14:paraId="3906AF21">
      <w:pPr>
        <w:snapToGrid w:val="0"/>
        <w:spacing w:before="50" w:afterLines="50" w:line="360" w:lineRule="auto"/>
        <w:jc w:val="center"/>
        <w:rPr>
          <w:rFonts w:ascii="宋体" w:hAnsi="宋体" w:cs="宋体"/>
          <w:b/>
          <w:color w:val="000000"/>
          <w:kern w:val="0"/>
          <w:sz w:val="32"/>
          <w:szCs w:val="32"/>
          <w:highlight w:val="none"/>
        </w:rPr>
      </w:pPr>
    </w:p>
    <w:p w14:paraId="4AEA0B1B">
      <w:pPr>
        <w:snapToGrid w:val="0"/>
        <w:spacing w:before="50" w:afterLines="50" w:line="360" w:lineRule="auto"/>
        <w:jc w:val="center"/>
        <w:rPr>
          <w:rFonts w:ascii="宋体" w:hAnsi="宋体" w:cs="宋体"/>
          <w:b/>
          <w:color w:val="000000"/>
          <w:kern w:val="0"/>
          <w:sz w:val="32"/>
          <w:szCs w:val="32"/>
          <w:highlight w:val="none"/>
        </w:rPr>
      </w:pPr>
    </w:p>
    <w:p w14:paraId="04C8F8EF">
      <w:pPr>
        <w:snapToGrid w:val="0"/>
        <w:spacing w:before="50" w:afterLines="50" w:line="360" w:lineRule="auto"/>
        <w:jc w:val="center"/>
        <w:rPr>
          <w:rFonts w:ascii="宋体" w:hAnsi="宋体" w:cs="宋体"/>
          <w:b/>
          <w:color w:val="000000"/>
          <w:kern w:val="0"/>
          <w:sz w:val="32"/>
          <w:szCs w:val="32"/>
          <w:highlight w:val="none"/>
        </w:rPr>
      </w:pPr>
    </w:p>
    <w:p w14:paraId="5E57950D">
      <w:pPr>
        <w:snapToGrid w:val="0"/>
        <w:spacing w:before="50" w:afterLines="50" w:line="360" w:lineRule="auto"/>
        <w:jc w:val="center"/>
        <w:rPr>
          <w:rFonts w:ascii="宋体" w:hAnsi="宋体" w:cs="宋体"/>
          <w:b/>
          <w:color w:val="000000"/>
          <w:kern w:val="0"/>
          <w:sz w:val="32"/>
          <w:szCs w:val="32"/>
          <w:highlight w:val="none"/>
        </w:rPr>
      </w:pPr>
    </w:p>
    <w:p w14:paraId="1DF19D39">
      <w:pPr>
        <w:snapToGrid w:val="0"/>
        <w:spacing w:before="50" w:afterLines="50" w:line="360" w:lineRule="auto"/>
        <w:jc w:val="center"/>
        <w:rPr>
          <w:rFonts w:ascii="宋体" w:hAnsi="宋体" w:cs="宋体"/>
          <w:b/>
          <w:color w:val="000000"/>
          <w:kern w:val="0"/>
          <w:sz w:val="32"/>
          <w:szCs w:val="32"/>
          <w:highlight w:val="none"/>
        </w:rPr>
      </w:pPr>
    </w:p>
    <w:p w14:paraId="380D8E7A">
      <w:pPr>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1266A6E6">
      <w:pPr>
        <w:snapToGrid w:val="0"/>
        <w:spacing w:before="50" w:afterLines="50" w:line="360" w:lineRule="auto"/>
        <w:jc w:val="center"/>
        <w:rPr>
          <w:rFonts w:ascii="宋体" w:hAnsi="宋体" w:cs="宋体"/>
          <w:b/>
          <w:color w:val="000000"/>
          <w:kern w:val="0"/>
          <w:sz w:val="32"/>
          <w:szCs w:val="32"/>
          <w:highlight w:val="none"/>
        </w:rPr>
      </w:pPr>
    </w:p>
    <w:p w14:paraId="72471417">
      <w:pPr>
        <w:snapToGrid w:val="0"/>
        <w:spacing w:before="50" w:afterLines="50" w:line="360" w:lineRule="auto"/>
        <w:jc w:val="center"/>
        <w:rPr>
          <w:rFonts w:ascii="宋体" w:hAnsi="宋体" w:cs="宋体"/>
          <w:b/>
          <w:color w:val="000000"/>
          <w:kern w:val="0"/>
          <w:sz w:val="32"/>
          <w:szCs w:val="32"/>
          <w:highlight w:val="none"/>
        </w:rPr>
      </w:pPr>
    </w:p>
    <w:p w14:paraId="217FD810">
      <w:pPr>
        <w:snapToGrid w:val="0"/>
        <w:spacing w:before="50" w:afterLines="50" w:line="360" w:lineRule="auto"/>
        <w:jc w:val="center"/>
        <w:rPr>
          <w:rFonts w:ascii="宋体" w:hAnsi="宋体" w:cs="宋体"/>
          <w:b/>
          <w:color w:val="000000"/>
          <w:kern w:val="0"/>
          <w:sz w:val="32"/>
          <w:szCs w:val="32"/>
          <w:highlight w:val="none"/>
        </w:rPr>
      </w:pPr>
    </w:p>
    <w:p w14:paraId="5C4F5743">
      <w:pPr>
        <w:snapToGrid w:val="0"/>
        <w:spacing w:before="50" w:afterLines="50" w:line="360" w:lineRule="auto"/>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公司直接控股股东信息表</w:t>
      </w:r>
    </w:p>
    <w:tbl>
      <w:tblPr>
        <w:tblStyle w:val="19"/>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2395"/>
      </w:tblGrid>
      <w:tr w14:paraId="2802DB7A">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D68C473">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8B12BEE">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28FAF6C">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579F8BB">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身份证号码或者统一社会信用代码</w:t>
            </w:r>
          </w:p>
        </w:tc>
        <w:tc>
          <w:tcPr>
            <w:tcW w:w="239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9EC1469">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备注</w:t>
            </w:r>
          </w:p>
        </w:tc>
      </w:tr>
      <w:tr w14:paraId="53A2C2D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C2A027">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930D48">
            <w:pPr>
              <w:spacing w:line="360" w:lineRule="auto"/>
              <w:jc w:val="center"/>
              <w:rPr>
                <w:rFonts w:ascii="宋体" w:hAnsi="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D8091D">
            <w:pPr>
              <w:spacing w:line="360" w:lineRule="auto"/>
              <w:jc w:val="center"/>
              <w:rPr>
                <w:rFonts w:ascii="宋体" w:hAnsi="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FD35CD">
            <w:pPr>
              <w:spacing w:line="360" w:lineRule="auto"/>
              <w:jc w:val="center"/>
              <w:rPr>
                <w:rFonts w:ascii="宋体" w:hAnsi="宋体" w:cs="宋体"/>
                <w:color w:val="000000"/>
                <w:kern w:val="0"/>
                <w:sz w:val="24"/>
                <w:highlight w:val="none"/>
              </w:rPr>
            </w:pPr>
          </w:p>
        </w:tc>
        <w:tc>
          <w:tcPr>
            <w:tcW w:w="23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21BE6F">
            <w:pPr>
              <w:spacing w:line="360" w:lineRule="auto"/>
              <w:jc w:val="center"/>
              <w:rPr>
                <w:rFonts w:ascii="宋体" w:hAnsi="宋体" w:cs="宋体"/>
                <w:color w:val="000000"/>
                <w:kern w:val="0"/>
                <w:sz w:val="24"/>
                <w:highlight w:val="none"/>
              </w:rPr>
            </w:pPr>
          </w:p>
        </w:tc>
      </w:tr>
      <w:tr w14:paraId="12047D0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87F9BD">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30AE66">
            <w:pPr>
              <w:spacing w:line="360" w:lineRule="auto"/>
              <w:jc w:val="center"/>
              <w:rPr>
                <w:rFonts w:ascii="宋体" w:hAnsi="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3FB5B6">
            <w:pPr>
              <w:spacing w:line="360" w:lineRule="auto"/>
              <w:jc w:val="center"/>
              <w:rPr>
                <w:rFonts w:ascii="宋体" w:hAnsi="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5B9F11">
            <w:pPr>
              <w:spacing w:line="360" w:lineRule="auto"/>
              <w:jc w:val="center"/>
              <w:rPr>
                <w:rFonts w:ascii="宋体" w:hAnsi="宋体" w:cs="宋体"/>
                <w:color w:val="000000"/>
                <w:kern w:val="0"/>
                <w:sz w:val="24"/>
                <w:highlight w:val="none"/>
              </w:rPr>
            </w:pPr>
          </w:p>
        </w:tc>
        <w:tc>
          <w:tcPr>
            <w:tcW w:w="23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752396">
            <w:pPr>
              <w:spacing w:line="360" w:lineRule="auto"/>
              <w:jc w:val="center"/>
              <w:rPr>
                <w:rFonts w:ascii="宋体" w:hAnsi="宋体" w:cs="宋体"/>
                <w:color w:val="000000"/>
                <w:kern w:val="0"/>
                <w:sz w:val="24"/>
                <w:highlight w:val="none"/>
              </w:rPr>
            </w:pPr>
          </w:p>
        </w:tc>
      </w:tr>
      <w:tr w14:paraId="5F2629C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EB441C">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A6BCEE">
            <w:pPr>
              <w:spacing w:line="360" w:lineRule="auto"/>
              <w:jc w:val="center"/>
              <w:rPr>
                <w:rFonts w:ascii="宋体" w:hAnsi="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CA8ECD">
            <w:pPr>
              <w:spacing w:line="360" w:lineRule="auto"/>
              <w:jc w:val="center"/>
              <w:rPr>
                <w:rFonts w:ascii="宋体" w:hAnsi="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B75AA2">
            <w:pPr>
              <w:spacing w:line="360" w:lineRule="auto"/>
              <w:jc w:val="center"/>
              <w:rPr>
                <w:rFonts w:ascii="宋体" w:hAnsi="宋体" w:cs="宋体"/>
                <w:color w:val="000000"/>
                <w:kern w:val="0"/>
                <w:sz w:val="24"/>
                <w:highlight w:val="none"/>
              </w:rPr>
            </w:pPr>
          </w:p>
        </w:tc>
        <w:tc>
          <w:tcPr>
            <w:tcW w:w="23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A19C17">
            <w:pPr>
              <w:spacing w:line="360" w:lineRule="auto"/>
              <w:jc w:val="center"/>
              <w:rPr>
                <w:rFonts w:ascii="宋体" w:hAnsi="宋体" w:cs="宋体"/>
                <w:color w:val="000000"/>
                <w:kern w:val="0"/>
                <w:sz w:val="24"/>
                <w:highlight w:val="none"/>
              </w:rPr>
            </w:pPr>
          </w:p>
        </w:tc>
      </w:tr>
      <w:tr w14:paraId="344A382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393D07">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943739">
            <w:pPr>
              <w:spacing w:line="360" w:lineRule="auto"/>
              <w:jc w:val="center"/>
              <w:rPr>
                <w:rFonts w:ascii="宋体" w:hAnsi="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EFC5FA">
            <w:pPr>
              <w:spacing w:line="360" w:lineRule="auto"/>
              <w:jc w:val="center"/>
              <w:rPr>
                <w:rFonts w:ascii="宋体" w:hAnsi="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602E01">
            <w:pPr>
              <w:spacing w:line="360" w:lineRule="auto"/>
              <w:jc w:val="center"/>
              <w:rPr>
                <w:rFonts w:ascii="宋体" w:hAnsi="宋体" w:cs="宋体"/>
                <w:color w:val="000000"/>
                <w:kern w:val="0"/>
                <w:sz w:val="24"/>
                <w:highlight w:val="none"/>
              </w:rPr>
            </w:pPr>
          </w:p>
        </w:tc>
        <w:tc>
          <w:tcPr>
            <w:tcW w:w="23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923435">
            <w:pPr>
              <w:spacing w:line="360" w:lineRule="auto"/>
              <w:jc w:val="center"/>
              <w:rPr>
                <w:rFonts w:ascii="宋体" w:hAnsi="宋体" w:cs="宋体"/>
                <w:color w:val="000000"/>
                <w:kern w:val="0"/>
                <w:sz w:val="24"/>
                <w:highlight w:val="none"/>
              </w:rPr>
            </w:pPr>
          </w:p>
        </w:tc>
      </w:tr>
    </w:tbl>
    <w:p w14:paraId="0070966D">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注：</w:t>
      </w:r>
    </w:p>
    <w:p w14:paraId="2E9B0D68">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1EDD1D7">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2.本表所指的控股关系仅限于直接控股关系，不包括间接的控股关系。公司实际控制人与公司之间的关系不属于本表所指的直接控股关系。</w:t>
      </w:r>
    </w:p>
    <w:p w14:paraId="1CBE6BB5">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3.供应商不存在直接控股股东的，则填“无”。</w:t>
      </w:r>
    </w:p>
    <w:p w14:paraId="0B7546E1">
      <w:pPr>
        <w:snapToGrid w:val="0"/>
        <w:spacing w:line="360" w:lineRule="auto"/>
        <w:jc w:val="left"/>
        <w:rPr>
          <w:rFonts w:ascii="宋体" w:hAnsi="宋体" w:cs="宋体"/>
          <w:color w:val="000000"/>
          <w:sz w:val="24"/>
          <w:highlight w:val="none"/>
        </w:rPr>
      </w:pPr>
    </w:p>
    <w:p w14:paraId="5E990C3D">
      <w:pPr>
        <w:snapToGrid w:val="0"/>
        <w:spacing w:line="360" w:lineRule="auto"/>
        <w:jc w:val="left"/>
        <w:rPr>
          <w:rFonts w:ascii="宋体" w:hAnsi="宋体" w:cs="宋体"/>
          <w:color w:val="000000"/>
          <w:sz w:val="24"/>
          <w:highlight w:val="none"/>
        </w:rPr>
      </w:pPr>
    </w:p>
    <w:p w14:paraId="1B97C190">
      <w:pPr>
        <w:snapToGrid w:val="0"/>
        <w:spacing w:line="360" w:lineRule="auto"/>
        <w:jc w:val="left"/>
        <w:rPr>
          <w:rFonts w:ascii="宋体" w:hAnsi="宋体" w:cs="宋体"/>
          <w:color w:val="000000"/>
          <w:sz w:val="24"/>
          <w:highlight w:val="none"/>
        </w:rPr>
      </w:pPr>
    </w:p>
    <w:p w14:paraId="6EF7398A">
      <w:pPr>
        <w:snapToGrid w:val="0"/>
        <w:spacing w:before="50" w:afterLines="100" w:line="360" w:lineRule="auto"/>
        <w:ind w:left="7428" w:leftChars="2223" w:hanging="2760" w:hangingChars="1150"/>
        <w:jc w:val="right"/>
        <w:rPr>
          <w:rFonts w:hint="eastAsia" w:ascii="宋体" w:hAnsi="宋体" w:eastAsia="宋体" w:cs="宋体"/>
          <w:color w:val="000000"/>
          <w:szCs w:val="21"/>
          <w:highlight w:val="none"/>
          <w:lang w:eastAsia="zh-CN"/>
        </w:rPr>
      </w:pPr>
      <w:r>
        <w:rPr>
          <w:rFonts w:hint="eastAsia" w:ascii="宋体" w:hAnsi="宋体" w:cs="宋体"/>
          <w:color w:val="000000"/>
          <w:kern w:val="0"/>
          <w:sz w:val="24"/>
          <w:highlight w:val="none"/>
          <w:lang w:val="zh-CN"/>
        </w:rPr>
        <w:t>供应商名称(公章)：</w:t>
      </w:r>
    </w:p>
    <w:p w14:paraId="6E7CD4E8">
      <w:pPr>
        <w:snapToGrid w:val="0"/>
        <w:jc w:val="right"/>
        <w:rPr>
          <w:rFonts w:ascii="宋体" w:hAnsi="宋体" w:cs="宋体"/>
          <w:b/>
          <w:color w:val="000000"/>
          <w:sz w:val="28"/>
          <w:szCs w:val="28"/>
          <w:highlight w:val="none"/>
        </w:rPr>
      </w:pPr>
      <w:r>
        <w:rPr>
          <w:rFonts w:hint="eastAsia" w:ascii="宋体" w:hAnsi="宋体" w:cs="宋体"/>
          <w:color w:val="000000"/>
          <w:szCs w:val="21"/>
          <w:highlight w:val="none"/>
        </w:rPr>
        <w:t>年月日</w:t>
      </w:r>
      <w:r>
        <w:rPr>
          <w:rFonts w:hint="eastAsia" w:ascii="宋体" w:hAnsi="宋体" w:cs="宋体"/>
          <w:b/>
          <w:color w:val="000000"/>
          <w:sz w:val="28"/>
          <w:szCs w:val="28"/>
          <w:highlight w:val="none"/>
        </w:rPr>
        <w:br w:type="page"/>
      </w:r>
    </w:p>
    <w:p w14:paraId="04C694B2">
      <w:pPr>
        <w:snapToGrid w:val="0"/>
        <w:spacing w:line="360" w:lineRule="auto"/>
        <w:jc w:val="center"/>
        <w:rPr>
          <w:rFonts w:ascii="宋体" w:hAnsi="宋体" w:cs="宋体"/>
          <w:color w:val="000000"/>
          <w:sz w:val="32"/>
          <w:szCs w:val="32"/>
          <w:highlight w:val="none"/>
        </w:rPr>
      </w:pPr>
      <w:r>
        <w:rPr>
          <w:rFonts w:hint="eastAsia" w:ascii="宋体" w:hAnsi="宋体" w:cs="宋体"/>
          <w:b/>
          <w:color w:val="000000"/>
          <w:sz w:val="32"/>
          <w:szCs w:val="32"/>
          <w:highlight w:val="none"/>
        </w:rPr>
        <w:t>公司直接管理关系信息表</w:t>
      </w:r>
    </w:p>
    <w:tbl>
      <w:tblPr>
        <w:tblStyle w:val="19"/>
        <w:tblW w:w="0" w:type="auto"/>
        <w:tblInd w:w="0" w:type="dxa"/>
        <w:shd w:val="clear" w:color="auto" w:fill="FBFBFB"/>
        <w:tblLayout w:type="fixed"/>
        <w:tblCellMar>
          <w:top w:w="0" w:type="dxa"/>
          <w:left w:w="0" w:type="dxa"/>
          <w:bottom w:w="0" w:type="dxa"/>
          <w:right w:w="0" w:type="dxa"/>
        </w:tblCellMar>
      </w:tblPr>
      <w:tblGrid>
        <w:gridCol w:w="1005"/>
        <w:gridCol w:w="2659"/>
        <w:gridCol w:w="3924"/>
        <w:gridCol w:w="3195"/>
      </w:tblGrid>
      <w:tr w14:paraId="2542062C">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33EAE6F">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D370CF8">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A9778D1">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统一社会信用代码</w:t>
            </w:r>
          </w:p>
        </w:tc>
        <w:tc>
          <w:tcPr>
            <w:tcW w:w="319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E8E9B61">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备注</w:t>
            </w:r>
          </w:p>
        </w:tc>
      </w:tr>
      <w:tr w14:paraId="1473E7C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0BABA2">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161088">
            <w:pPr>
              <w:spacing w:line="360" w:lineRule="auto"/>
              <w:jc w:val="center"/>
              <w:rPr>
                <w:rFonts w:ascii="宋体" w:hAnsi="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A33BEA">
            <w:pPr>
              <w:spacing w:line="360" w:lineRule="auto"/>
              <w:jc w:val="center"/>
              <w:rPr>
                <w:rFonts w:ascii="宋体" w:hAnsi="宋体" w:cs="宋体"/>
                <w:color w:val="000000"/>
                <w:kern w:val="0"/>
                <w:sz w:val="24"/>
                <w:highlight w:val="none"/>
              </w:rPr>
            </w:pPr>
          </w:p>
        </w:tc>
        <w:tc>
          <w:tcPr>
            <w:tcW w:w="31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68F97D">
            <w:pPr>
              <w:spacing w:line="360" w:lineRule="auto"/>
              <w:jc w:val="center"/>
              <w:rPr>
                <w:rFonts w:ascii="宋体" w:hAnsi="宋体" w:cs="宋体"/>
                <w:color w:val="000000"/>
                <w:kern w:val="0"/>
                <w:sz w:val="24"/>
                <w:highlight w:val="none"/>
              </w:rPr>
            </w:pPr>
          </w:p>
        </w:tc>
      </w:tr>
      <w:tr w14:paraId="2EEB61C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DD366D">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A97499">
            <w:pPr>
              <w:spacing w:line="360" w:lineRule="auto"/>
              <w:jc w:val="center"/>
              <w:rPr>
                <w:rFonts w:ascii="宋体" w:hAnsi="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0EB938">
            <w:pPr>
              <w:spacing w:line="360" w:lineRule="auto"/>
              <w:jc w:val="center"/>
              <w:rPr>
                <w:rFonts w:ascii="宋体" w:hAnsi="宋体" w:cs="宋体"/>
                <w:color w:val="000000"/>
                <w:kern w:val="0"/>
                <w:sz w:val="24"/>
                <w:highlight w:val="none"/>
              </w:rPr>
            </w:pPr>
          </w:p>
        </w:tc>
        <w:tc>
          <w:tcPr>
            <w:tcW w:w="31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11AF63">
            <w:pPr>
              <w:spacing w:line="360" w:lineRule="auto"/>
              <w:jc w:val="center"/>
              <w:rPr>
                <w:rFonts w:ascii="宋体" w:hAnsi="宋体" w:cs="宋体"/>
                <w:color w:val="000000"/>
                <w:kern w:val="0"/>
                <w:sz w:val="24"/>
                <w:highlight w:val="none"/>
              </w:rPr>
            </w:pPr>
          </w:p>
        </w:tc>
      </w:tr>
      <w:tr w14:paraId="31632F8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1BD974">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811EBD">
            <w:pPr>
              <w:spacing w:line="360" w:lineRule="auto"/>
              <w:jc w:val="center"/>
              <w:rPr>
                <w:rFonts w:ascii="宋体" w:hAnsi="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92AD31">
            <w:pPr>
              <w:spacing w:line="360" w:lineRule="auto"/>
              <w:jc w:val="center"/>
              <w:rPr>
                <w:rFonts w:ascii="宋体" w:hAnsi="宋体" w:cs="宋体"/>
                <w:color w:val="000000"/>
                <w:kern w:val="0"/>
                <w:sz w:val="24"/>
                <w:highlight w:val="none"/>
              </w:rPr>
            </w:pPr>
          </w:p>
        </w:tc>
        <w:tc>
          <w:tcPr>
            <w:tcW w:w="31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01FA17">
            <w:pPr>
              <w:spacing w:line="360" w:lineRule="auto"/>
              <w:jc w:val="center"/>
              <w:rPr>
                <w:rFonts w:ascii="宋体" w:hAnsi="宋体" w:cs="宋体"/>
                <w:color w:val="000000"/>
                <w:kern w:val="0"/>
                <w:sz w:val="24"/>
                <w:highlight w:val="none"/>
              </w:rPr>
            </w:pPr>
          </w:p>
        </w:tc>
      </w:tr>
      <w:tr w14:paraId="5F2DDBE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74D014">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CE5A50">
            <w:pPr>
              <w:spacing w:line="360" w:lineRule="auto"/>
              <w:jc w:val="center"/>
              <w:rPr>
                <w:rFonts w:ascii="宋体" w:hAnsi="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9F3E00">
            <w:pPr>
              <w:spacing w:line="360" w:lineRule="auto"/>
              <w:jc w:val="center"/>
              <w:rPr>
                <w:rFonts w:ascii="宋体" w:hAnsi="宋体" w:cs="宋体"/>
                <w:color w:val="000000"/>
                <w:kern w:val="0"/>
                <w:sz w:val="24"/>
                <w:highlight w:val="none"/>
              </w:rPr>
            </w:pPr>
          </w:p>
        </w:tc>
        <w:tc>
          <w:tcPr>
            <w:tcW w:w="31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0D7476">
            <w:pPr>
              <w:spacing w:line="360" w:lineRule="auto"/>
              <w:jc w:val="center"/>
              <w:rPr>
                <w:rFonts w:ascii="宋体" w:hAnsi="宋体" w:cs="宋体"/>
                <w:color w:val="000000"/>
                <w:kern w:val="0"/>
                <w:sz w:val="24"/>
                <w:highlight w:val="none"/>
              </w:rPr>
            </w:pPr>
          </w:p>
        </w:tc>
      </w:tr>
    </w:tbl>
    <w:p w14:paraId="59510C70">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注：</w:t>
      </w:r>
    </w:p>
    <w:p w14:paraId="3567E596">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1.管理关系：是指不具有出资持股关系的其他单位之间存在的管理与被管理关系，如一些上下级关系的事业单位和团体组织。</w:t>
      </w:r>
    </w:p>
    <w:p w14:paraId="2D609867">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pacing w:val="-6"/>
          <w:sz w:val="24"/>
          <w:highlight w:val="none"/>
        </w:rPr>
        <w:t>本表所指的管理关系仅限于直接管理关系，不包括间接的管理关系。</w:t>
      </w:r>
    </w:p>
    <w:p w14:paraId="6A4BE2BB">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3.供应商不存在直接管理关系的，则填“无”。</w:t>
      </w:r>
    </w:p>
    <w:p w14:paraId="016293BB">
      <w:pPr>
        <w:snapToGrid w:val="0"/>
        <w:spacing w:line="360" w:lineRule="auto"/>
        <w:jc w:val="left"/>
        <w:rPr>
          <w:rFonts w:ascii="宋体" w:hAnsi="宋体" w:cs="宋体"/>
          <w:color w:val="000000"/>
          <w:sz w:val="24"/>
          <w:highlight w:val="none"/>
        </w:rPr>
      </w:pPr>
    </w:p>
    <w:p w14:paraId="42FA700A">
      <w:pPr>
        <w:snapToGrid w:val="0"/>
        <w:spacing w:line="360" w:lineRule="auto"/>
        <w:jc w:val="left"/>
        <w:rPr>
          <w:rFonts w:ascii="宋体" w:hAnsi="宋体" w:cs="宋体"/>
          <w:color w:val="000000"/>
          <w:sz w:val="24"/>
          <w:highlight w:val="none"/>
        </w:rPr>
      </w:pPr>
    </w:p>
    <w:p w14:paraId="19669FE8">
      <w:pPr>
        <w:snapToGrid w:val="0"/>
        <w:spacing w:line="360" w:lineRule="auto"/>
        <w:jc w:val="left"/>
        <w:rPr>
          <w:rFonts w:ascii="宋体" w:hAnsi="宋体" w:cs="宋体"/>
          <w:color w:val="000000"/>
          <w:sz w:val="24"/>
          <w:highlight w:val="none"/>
        </w:rPr>
      </w:pPr>
    </w:p>
    <w:p w14:paraId="1EFA2C62">
      <w:pPr>
        <w:snapToGrid w:val="0"/>
        <w:spacing w:line="360" w:lineRule="auto"/>
        <w:jc w:val="left"/>
        <w:rPr>
          <w:rFonts w:ascii="宋体" w:hAnsi="宋体" w:cs="宋体"/>
          <w:color w:val="000000"/>
          <w:sz w:val="24"/>
          <w:highlight w:val="none"/>
        </w:rPr>
      </w:pPr>
    </w:p>
    <w:p w14:paraId="14EF17FC">
      <w:pPr>
        <w:snapToGrid w:val="0"/>
        <w:spacing w:line="360" w:lineRule="auto"/>
        <w:jc w:val="left"/>
        <w:rPr>
          <w:rFonts w:ascii="宋体" w:hAnsi="宋体" w:cs="宋体"/>
          <w:color w:val="000000"/>
          <w:sz w:val="24"/>
          <w:highlight w:val="none"/>
        </w:rPr>
      </w:pPr>
    </w:p>
    <w:p w14:paraId="30FB034F">
      <w:pPr>
        <w:snapToGrid w:val="0"/>
        <w:spacing w:line="360" w:lineRule="auto"/>
        <w:jc w:val="left"/>
        <w:rPr>
          <w:rFonts w:ascii="宋体" w:hAnsi="宋体" w:cs="宋体"/>
          <w:color w:val="000000"/>
          <w:sz w:val="24"/>
          <w:highlight w:val="none"/>
        </w:rPr>
      </w:pPr>
    </w:p>
    <w:p w14:paraId="33BBC76D">
      <w:pPr>
        <w:snapToGrid w:val="0"/>
        <w:spacing w:line="360" w:lineRule="auto"/>
        <w:jc w:val="left"/>
        <w:rPr>
          <w:rFonts w:ascii="宋体" w:hAnsi="宋体" w:cs="宋体"/>
          <w:color w:val="000000"/>
          <w:sz w:val="24"/>
          <w:highlight w:val="none"/>
        </w:rPr>
      </w:pPr>
    </w:p>
    <w:p w14:paraId="5CAACB08">
      <w:pPr>
        <w:snapToGrid w:val="0"/>
        <w:spacing w:line="360" w:lineRule="auto"/>
        <w:jc w:val="left"/>
        <w:rPr>
          <w:rFonts w:ascii="宋体" w:hAnsi="宋体" w:cs="宋体"/>
          <w:color w:val="000000"/>
          <w:sz w:val="24"/>
          <w:highlight w:val="none"/>
        </w:rPr>
      </w:pPr>
    </w:p>
    <w:p w14:paraId="6ACB2105">
      <w:pPr>
        <w:snapToGrid w:val="0"/>
        <w:spacing w:before="50" w:afterLines="100" w:line="360" w:lineRule="auto"/>
        <w:jc w:val="right"/>
        <w:rPr>
          <w:rFonts w:hint="eastAsia" w:ascii="宋体" w:hAnsi="宋体" w:eastAsia="宋体" w:cs="宋体"/>
          <w:color w:val="000000"/>
          <w:szCs w:val="21"/>
          <w:highlight w:val="none"/>
          <w:lang w:eastAsia="zh-CN"/>
        </w:rPr>
      </w:pPr>
      <w:r>
        <w:rPr>
          <w:rFonts w:hint="eastAsia" w:ascii="宋体" w:hAnsi="宋体" w:cs="宋体"/>
          <w:color w:val="000000"/>
          <w:kern w:val="0"/>
          <w:sz w:val="24"/>
          <w:highlight w:val="none"/>
          <w:lang w:val="zh-CN"/>
        </w:rPr>
        <w:t>供应商名称(公章)：</w:t>
      </w:r>
    </w:p>
    <w:p w14:paraId="39491A62">
      <w:pPr>
        <w:snapToGrid w:val="0"/>
        <w:spacing w:before="50" w:afterLines="50"/>
        <w:jc w:val="right"/>
        <w:rPr>
          <w:rFonts w:ascii="宋体" w:hAnsi="宋体" w:cs="宋体"/>
          <w:color w:val="000000"/>
          <w:szCs w:val="21"/>
          <w:highlight w:val="none"/>
        </w:rPr>
      </w:pPr>
      <w:r>
        <w:rPr>
          <w:rFonts w:hint="eastAsia" w:ascii="宋体" w:hAnsi="宋体" w:cs="宋体"/>
          <w:color w:val="000000"/>
          <w:szCs w:val="21"/>
          <w:highlight w:val="none"/>
        </w:rPr>
        <w:t>年月日</w:t>
      </w:r>
    </w:p>
    <w:p w14:paraId="667DF1D0">
      <w:pPr>
        <w:snapToGrid w:val="0"/>
        <w:spacing w:before="50" w:afterLines="50"/>
        <w:jc w:val="right"/>
        <w:rPr>
          <w:rFonts w:ascii="宋体" w:hAnsi="宋体" w:cs="宋体"/>
          <w:color w:val="000000"/>
          <w:szCs w:val="21"/>
          <w:highlight w:val="none"/>
        </w:rPr>
      </w:pPr>
    </w:p>
    <w:p w14:paraId="363B4F95">
      <w:pPr>
        <w:snapToGrid w:val="0"/>
        <w:spacing w:before="50" w:afterLines="50"/>
        <w:jc w:val="right"/>
        <w:rPr>
          <w:rFonts w:ascii="宋体" w:hAnsi="宋体" w:cs="宋体"/>
          <w:color w:val="000000"/>
          <w:szCs w:val="21"/>
          <w:highlight w:val="none"/>
        </w:rPr>
      </w:pPr>
    </w:p>
    <w:p w14:paraId="6DCB479B">
      <w:pPr>
        <w:snapToGrid w:val="0"/>
        <w:spacing w:before="50" w:afterLines="50"/>
        <w:jc w:val="right"/>
        <w:rPr>
          <w:rFonts w:ascii="宋体" w:hAnsi="宋体" w:cs="宋体"/>
          <w:color w:val="000000"/>
          <w:szCs w:val="21"/>
          <w:highlight w:val="none"/>
        </w:rPr>
      </w:pPr>
    </w:p>
    <w:p w14:paraId="1048226E">
      <w:pPr>
        <w:snapToGrid w:val="0"/>
        <w:spacing w:before="50" w:afterLines="50"/>
        <w:jc w:val="right"/>
        <w:rPr>
          <w:rFonts w:ascii="宋体" w:hAnsi="宋体" w:cs="宋体"/>
          <w:color w:val="000000"/>
          <w:szCs w:val="21"/>
          <w:highlight w:val="none"/>
        </w:rPr>
      </w:pPr>
    </w:p>
    <w:p w14:paraId="75640C14">
      <w:pPr>
        <w:snapToGrid w:val="0"/>
        <w:spacing w:before="50" w:afterLines="50"/>
        <w:jc w:val="right"/>
        <w:rPr>
          <w:rFonts w:ascii="宋体" w:hAnsi="宋体" w:cs="宋体"/>
          <w:color w:val="000000"/>
          <w:szCs w:val="21"/>
          <w:highlight w:val="none"/>
        </w:rPr>
      </w:pPr>
    </w:p>
    <w:p w14:paraId="04B0A2EC">
      <w:pPr>
        <w:snapToGrid w:val="0"/>
        <w:spacing w:before="50" w:afterLines="50"/>
        <w:jc w:val="right"/>
        <w:rPr>
          <w:rFonts w:ascii="宋体" w:hAnsi="宋体" w:cs="宋体"/>
          <w:color w:val="000000"/>
          <w:szCs w:val="21"/>
          <w:highlight w:val="none"/>
        </w:rPr>
      </w:pPr>
    </w:p>
    <w:p w14:paraId="070A30BC">
      <w:pPr>
        <w:snapToGrid w:val="0"/>
        <w:spacing w:before="50" w:afterLines="50"/>
        <w:jc w:val="center"/>
        <w:rPr>
          <w:rFonts w:ascii="宋体" w:hAnsi="宋体" w:cs="宋体"/>
          <w:b/>
          <w:color w:val="000000"/>
          <w:spacing w:val="0"/>
          <w:sz w:val="36"/>
          <w:szCs w:val="36"/>
          <w:highlight w:val="none"/>
        </w:rPr>
      </w:pPr>
      <w:r>
        <w:rPr>
          <w:rFonts w:hint="eastAsia" w:ascii="宋体" w:hAnsi="宋体" w:cs="宋体"/>
          <w:b/>
          <w:color w:val="000000"/>
          <w:sz w:val="36"/>
          <w:szCs w:val="36"/>
          <w:highlight w:val="none"/>
        </w:rPr>
        <w:t>评分标准</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2003"/>
        <w:gridCol w:w="5860"/>
      </w:tblGrid>
      <w:tr w14:paraId="4430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7" w:type="pct"/>
            <w:tcBorders>
              <w:top w:val="single" w:color="auto" w:sz="4" w:space="0"/>
              <w:left w:val="single" w:color="auto" w:sz="4" w:space="0"/>
              <w:bottom w:val="single" w:color="auto" w:sz="4" w:space="0"/>
              <w:right w:val="single" w:color="auto" w:sz="4" w:space="0"/>
            </w:tcBorders>
            <w:noWrap w:val="0"/>
            <w:vAlign w:val="top"/>
          </w:tcPr>
          <w:p w14:paraId="04BCC233">
            <w:pPr>
              <w:keepNext w:val="0"/>
              <w:keepLines w:val="0"/>
              <w:pageBreakBefore w:val="0"/>
              <w:widowControl w:val="0"/>
              <w:tabs>
                <w:tab w:val="left" w:pos="259"/>
                <w:tab w:val="right" w:pos="1151"/>
              </w:tabs>
              <w:kinsoku/>
              <w:wordWrap/>
              <w:overflowPunct/>
              <w:topLinePunct w:val="0"/>
              <w:autoSpaceDE/>
              <w:autoSpaceDN/>
              <w:bidi w:val="0"/>
              <w:adjustRightInd/>
              <w:snapToGrid/>
              <w:spacing w:before="162" w:line="400" w:lineRule="exact"/>
              <w:ind w:right="43" w:rightChars="0"/>
              <w:jc w:val="left"/>
              <w:textAlignment w:val="auto"/>
              <w:rPr>
                <w:rFonts w:ascii="宋体" w:hAnsi="宋体" w:cs="宋体"/>
                <w:b/>
                <w:spacing w:val="0"/>
                <w:kern w:val="0"/>
                <w:sz w:val="24"/>
              </w:rPr>
            </w:pPr>
            <w:r>
              <w:rPr>
                <w:rFonts w:hint="eastAsia" w:ascii="宋体" w:hAnsi="宋体" w:eastAsia="宋体" w:cs="宋体"/>
                <w:b/>
                <w:bCs/>
                <w:spacing w:val="0"/>
                <w:sz w:val="26"/>
                <w:szCs w:val="26"/>
                <w:lang w:eastAsia="zh-CN"/>
              </w:rPr>
              <w:tab/>
            </w:r>
            <w:r>
              <w:rPr>
                <w:rFonts w:hint="eastAsia" w:ascii="宋体" w:hAnsi="宋体" w:eastAsia="宋体" w:cs="宋体"/>
                <w:b/>
                <w:bCs/>
                <w:spacing w:val="0"/>
                <w:sz w:val="26"/>
                <w:szCs w:val="26"/>
                <w:lang w:eastAsia="zh-CN"/>
              </w:rPr>
              <w:tab/>
            </w:r>
            <w:r>
              <w:rPr>
                <w:rFonts w:ascii="宋体" w:hAnsi="宋体" w:eastAsia="宋体" w:cs="宋体"/>
                <w:b/>
                <w:bCs/>
                <w:spacing w:val="0"/>
                <w:sz w:val="26"/>
                <w:szCs w:val="26"/>
              </w:rPr>
              <w:t>项目</w:t>
            </w:r>
          </w:p>
        </w:tc>
        <w:tc>
          <w:tcPr>
            <w:tcW w:w="1109" w:type="pct"/>
            <w:tcBorders>
              <w:top w:val="single" w:color="auto" w:sz="4" w:space="0"/>
              <w:left w:val="single" w:color="auto" w:sz="4" w:space="0"/>
              <w:bottom w:val="single" w:color="auto" w:sz="4" w:space="0"/>
              <w:right w:val="single" w:color="auto" w:sz="4" w:space="0"/>
            </w:tcBorders>
            <w:noWrap w:val="0"/>
            <w:vAlign w:val="top"/>
          </w:tcPr>
          <w:p w14:paraId="40FA4B1A">
            <w:pPr>
              <w:keepNext w:val="0"/>
              <w:keepLines w:val="0"/>
              <w:pageBreakBefore w:val="0"/>
              <w:widowControl w:val="0"/>
              <w:kinsoku/>
              <w:wordWrap/>
              <w:overflowPunct/>
              <w:topLinePunct w:val="0"/>
              <w:autoSpaceDE/>
              <w:autoSpaceDN/>
              <w:bidi w:val="0"/>
              <w:adjustRightInd/>
              <w:snapToGrid/>
              <w:spacing w:before="162" w:line="400" w:lineRule="exact"/>
              <w:ind w:left="124" w:leftChars="0"/>
              <w:textAlignment w:val="auto"/>
              <w:rPr>
                <w:rFonts w:ascii="宋体" w:hAnsi="宋体" w:cs="宋体"/>
                <w:b/>
                <w:spacing w:val="0"/>
                <w:kern w:val="0"/>
                <w:sz w:val="24"/>
              </w:rPr>
            </w:pPr>
            <w:r>
              <w:rPr>
                <w:rFonts w:ascii="宋体" w:hAnsi="宋体" w:eastAsia="宋体" w:cs="宋体"/>
                <w:b/>
                <w:bCs/>
                <w:spacing w:val="0"/>
                <w:sz w:val="26"/>
                <w:szCs w:val="26"/>
              </w:rPr>
              <w:t>评分因素</w:t>
            </w:r>
          </w:p>
        </w:tc>
        <w:tc>
          <w:tcPr>
            <w:tcW w:w="3243" w:type="pct"/>
            <w:tcBorders>
              <w:top w:val="single" w:color="auto" w:sz="4" w:space="0"/>
              <w:left w:val="single" w:color="auto" w:sz="4" w:space="0"/>
              <w:bottom w:val="single" w:color="auto" w:sz="4" w:space="0"/>
              <w:right w:val="single" w:color="auto" w:sz="4" w:space="0"/>
            </w:tcBorders>
            <w:noWrap w:val="0"/>
            <w:vAlign w:val="top"/>
          </w:tcPr>
          <w:p w14:paraId="15B03064">
            <w:pPr>
              <w:keepNext w:val="0"/>
              <w:keepLines w:val="0"/>
              <w:pageBreakBefore w:val="0"/>
              <w:widowControl w:val="0"/>
              <w:kinsoku/>
              <w:wordWrap/>
              <w:overflowPunct/>
              <w:topLinePunct w:val="0"/>
              <w:autoSpaceDE/>
              <w:autoSpaceDN/>
              <w:bidi w:val="0"/>
              <w:adjustRightInd/>
              <w:snapToGrid/>
              <w:spacing w:before="159" w:line="400" w:lineRule="exact"/>
              <w:textAlignment w:val="auto"/>
              <w:rPr>
                <w:rFonts w:ascii="宋体" w:hAnsi="宋体" w:cs="宋体"/>
                <w:b/>
                <w:spacing w:val="0"/>
                <w:kern w:val="0"/>
                <w:sz w:val="24"/>
              </w:rPr>
            </w:pPr>
            <w:r>
              <w:rPr>
                <w:rFonts w:ascii="宋体" w:hAnsi="宋体" w:eastAsia="宋体" w:cs="宋体"/>
                <w:b/>
                <w:bCs/>
                <w:spacing w:val="0"/>
                <w:sz w:val="26"/>
                <w:szCs w:val="26"/>
              </w:rPr>
              <w:t>评价内容及分项分值</w:t>
            </w:r>
          </w:p>
        </w:tc>
      </w:tr>
      <w:tr w14:paraId="3F18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647" w:type="pct"/>
            <w:tcBorders>
              <w:top w:val="single" w:color="auto" w:sz="4" w:space="0"/>
              <w:left w:val="single" w:color="auto" w:sz="4" w:space="0"/>
              <w:bottom w:val="single" w:color="auto" w:sz="4" w:space="0"/>
              <w:right w:val="single" w:color="auto" w:sz="4" w:space="0"/>
            </w:tcBorders>
            <w:noWrap w:val="0"/>
            <w:vAlign w:val="top"/>
          </w:tcPr>
          <w:p w14:paraId="51ADE153">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44DD7C75">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4A33B964">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5682CE5F">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1CFCB0BA">
            <w:pPr>
              <w:keepNext w:val="0"/>
              <w:keepLines w:val="0"/>
              <w:pageBreakBefore w:val="0"/>
              <w:widowControl w:val="0"/>
              <w:kinsoku/>
              <w:wordWrap/>
              <w:overflowPunct/>
              <w:topLinePunct w:val="0"/>
              <w:autoSpaceDE/>
              <w:autoSpaceDN/>
              <w:bidi w:val="0"/>
              <w:adjustRightInd/>
              <w:snapToGrid/>
              <w:spacing w:before="84" w:line="400" w:lineRule="exact"/>
              <w:ind w:left="204"/>
              <w:textAlignment w:val="auto"/>
              <w:rPr>
                <w:rFonts w:ascii="宋体" w:hAnsi="宋体" w:eastAsia="宋体" w:cs="宋体"/>
                <w:spacing w:val="0"/>
                <w:sz w:val="26"/>
                <w:szCs w:val="26"/>
              </w:rPr>
            </w:pPr>
            <w:r>
              <w:rPr>
                <w:rFonts w:ascii="宋体" w:hAnsi="宋体" w:eastAsia="宋体" w:cs="宋体"/>
                <w:spacing w:val="0"/>
                <w:sz w:val="26"/>
                <w:szCs w:val="26"/>
              </w:rPr>
              <w:t>价格分</w:t>
            </w:r>
          </w:p>
          <w:p w14:paraId="174C88BD">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40522D11">
            <w:pPr>
              <w:keepNext w:val="0"/>
              <w:keepLines w:val="0"/>
              <w:pageBreakBefore w:val="0"/>
              <w:widowControl w:val="0"/>
              <w:kinsoku/>
              <w:wordWrap/>
              <w:overflowPunct/>
              <w:topLinePunct w:val="0"/>
              <w:autoSpaceDE/>
              <w:autoSpaceDN/>
              <w:bidi w:val="0"/>
              <w:adjustRightInd/>
              <w:snapToGrid/>
              <w:spacing w:before="85" w:line="400" w:lineRule="exact"/>
              <w:ind w:right="32" w:rightChars="0"/>
              <w:jc w:val="right"/>
              <w:textAlignment w:val="auto"/>
              <w:rPr>
                <w:rFonts w:ascii="宋体" w:hAnsi="宋体" w:cs="宋体"/>
                <w:spacing w:val="0"/>
                <w:sz w:val="24"/>
                <w:szCs w:val="24"/>
              </w:rPr>
            </w:pPr>
            <w:r>
              <w:rPr>
                <w:rFonts w:ascii="宋体" w:hAnsi="宋体" w:eastAsia="宋体" w:cs="宋体"/>
                <w:spacing w:val="0"/>
                <w:sz w:val="26"/>
                <w:szCs w:val="26"/>
              </w:rPr>
              <w:t>(30分)</w:t>
            </w:r>
          </w:p>
        </w:tc>
        <w:tc>
          <w:tcPr>
            <w:tcW w:w="1109" w:type="pct"/>
            <w:tcBorders>
              <w:top w:val="single" w:color="auto" w:sz="4" w:space="0"/>
              <w:left w:val="single" w:color="auto" w:sz="4" w:space="0"/>
              <w:bottom w:val="single" w:color="auto" w:sz="4" w:space="0"/>
              <w:right w:val="single" w:color="auto" w:sz="4" w:space="0"/>
            </w:tcBorders>
            <w:noWrap w:val="0"/>
            <w:vAlign w:val="top"/>
          </w:tcPr>
          <w:p w14:paraId="218B56BA">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29792021">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05CD3B4D">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6AE84452">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4BDD0277">
            <w:pPr>
              <w:keepNext w:val="0"/>
              <w:keepLines w:val="0"/>
              <w:pageBreakBefore w:val="0"/>
              <w:widowControl w:val="0"/>
              <w:kinsoku/>
              <w:wordWrap/>
              <w:overflowPunct/>
              <w:topLinePunct w:val="0"/>
              <w:autoSpaceDE/>
              <w:autoSpaceDN/>
              <w:bidi w:val="0"/>
              <w:adjustRightInd/>
              <w:snapToGrid/>
              <w:spacing w:before="84" w:line="400" w:lineRule="exact"/>
              <w:ind w:left="140"/>
              <w:textAlignment w:val="auto"/>
              <w:rPr>
                <w:spacing w:val="0"/>
              </w:rPr>
            </w:pPr>
            <w:r>
              <w:rPr>
                <w:rFonts w:ascii="宋体" w:hAnsi="宋体" w:eastAsia="宋体" w:cs="宋体"/>
                <w:spacing w:val="0"/>
                <w:sz w:val="26"/>
                <w:szCs w:val="26"/>
              </w:rPr>
              <w:t>投标报价</w:t>
            </w:r>
          </w:p>
          <w:p w14:paraId="33F33C62">
            <w:pPr>
              <w:keepNext w:val="0"/>
              <w:keepLines w:val="0"/>
              <w:pageBreakBefore w:val="0"/>
              <w:widowControl w:val="0"/>
              <w:kinsoku/>
              <w:wordWrap/>
              <w:overflowPunct/>
              <w:topLinePunct w:val="0"/>
              <w:autoSpaceDE/>
              <w:autoSpaceDN/>
              <w:bidi w:val="0"/>
              <w:adjustRightInd/>
              <w:snapToGrid/>
              <w:spacing w:before="85" w:line="400" w:lineRule="exact"/>
              <w:ind w:left="120" w:leftChars="0"/>
              <w:textAlignment w:val="auto"/>
              <w:rPr>
                <w:rFonts w:ascii="宋体" w:hAnsi="宋体" w:cs="宋体"/>
                <w:spacing w:val="0"/>
                <w:sz w:val="24"/>
                <w:szCs w:val="24"/>
              </w:rPr>
            </w:pPr>
            <w:r>
              <w:rPr>
                <w:rFonts w:ascii="宋体" w:hAnsi="宋体" w:eastAsia="宋体" w:cs="宋体"/>
                <w:spacing w:val="0"/>
                <w:sz w:val="26"/>
                <w:szCs w:val="26"/>
              </w:rPr>
              <w:t>(30分)</w:t>
            </w:r>
          </w:p>
        </w:tc>
        <w:tc>
          <w:tcPr>
            <w:tcW w:w="3243" w:type="pct"/>
            <w:tcBorders>
              <w:top w:val="single" w:color="auto" w:sz="4" w:space="0"/>
              <w:left w:val="single" w:color="auto" w:sz="4" w:space="0"/>
              <w:bottom w:val="single" w:color="auto" w:sz="4" w:space="0"/>
              <w:right w:val="single" w:color="auto" w:sz="4" w:space="0"/>
            </w:tcBorders>
            <w:noWrap w:val="0"/>
            <w:vAlign w:val="top"/>
          </w:tcPr>
          <w:p w14:paraId="368D595F">
            <w:pPr>
              <w:keepNext w:val="0"/>
              <w:keepLines w:val="0"/>
              <w:pageBreakBefore w:val="0"/>
              <w:widowControl w:val="0"/>
              <w:kinsoku/>
              <w:wordWrap/>
              <w:overflowPunct/>
              <w:topLinePunct w:val="0"/>
              <w:autoSpaceDE/>
              <w:autoSpaceDN/>
              <w:bidi w:val="0"/>
              <w:adjustRightInd/>
              <w:snapToGrid/>
              <w:spacing w:before="85" w:line="400" w:lineRule="exact"/>
              <w:textAlignment w:val="auto"/>
              <w:rPr>
                <w:rFonts w:ascii="宋体" w:hAnsi="宋体" w:eastAsia="宋体" w:cs="宋体"/>
                <w:spacing w:val="0"/>
                <w:sz w:val="26"/>
                <w:szCs w:val="26"/>
              </w:rPr>
            </w:pPr>
            <w:r>
              <w:rPr>
                <w:rFonts w:ascii="宋体" w:hAnsi="宋体" w:eastAsia="宋体" w:cs="宋体"/>
                <w:spacing w:val="0"/>
                <w:sz w:val="26"/>
                <w:szCs w:val="26"/>
              </w:rPr>
              <w:t>价格评分的计算方法如下：</w:t>
            </w:r>
          </w:p>
          <w:p w14:paraId="1FAB63F0">
            <w:pPr>
              <w:keepNext w:val="0"/>
              <w:keepLines w:val="0"/>
              <w:pageBreakBefore w:val="0"/>
              <w:widowControl w:val="0"/>
              <w:kinsoku/>
              <w:wordWrap/>
              <w:overflowPunct/>
              <w:topLinePunct w:val="0"/>
              <w:autoSpaceDE/>
              <w:autoSpaceDN/>
              <w:bidi w:val="0"/>
              <w:adjustRightInd/>
              <w:snapToGrid/>
              <w:spacing w:before="85" w:line="400" w:lineRule="exact"/>
              <w:ind w:left="152"/>
              <w:textAlignment w:val="auto"/>
              <w:rPr>
                <w:rFonts w:hint="eastAsia" w:eastAsia="宋体"/>
                <w:spacing w:val="0"/>
                <w:lang w:eastAsia="zh-CN"/>
              </w:rPr>
            </w:pPr>
            <w:r>
              <w:rPr>
                <w:rFonts w:ascii="宋体" w:hAnsi="宋体" w:eastAsia="宋体" w:cs="宋体"/>
                <w:spacing w:val="0"/>
                <w:sz w:val="26"/>
                <w:szCs w:val="26"/>
              </w:rPr>
              <w:t>1、满足需求要求且报价价格最低的报价为评标基准价(D),其价格分为满分(30分);</w:t>
            </w:r>
          </w:p>
          <w:p w14:paraId="719B343F">
            <w:pPr>
              <w:keepNext w:val="0"/>
              <w:keepLines w:val="0"/>
              <w:pageBreakBefore w:val="0"/>
              <w:widowControl w:val="0"/>
              <w:kinsoku/>
              <w:wordWrap/>
              <w:overflowPunct/>
              <w:topLinePunct w:val="0"/>
              <w:autoSpaceDE/>
              <w:autoSpaceDN/>
              <w:bidi w:val="0"/>
              <w:adjustRightInd/>
              <w:snapToGrid/>
              <w:spacing w:before="84" w:line="400" w:lineRule="exact"/>
              <w:ind w:left="152" w:leftChars="0"/>
              <w:textAlignment w:val="auto"/>
              <w:rPr>
                <w:rFonts w:ascii="宋体" w:hAnsi="宋体" w:cs="宋体"/>
                <w:spacing w:val="0"/>
                <w:sz w:val="24"/>
                <w:szCs w:val="24"/>
              </w:rPr>
            </w:pPr>
            <w:r>
              <w:rPr>
                <w:rFonts w:ascii="宋体" w:hAnsi="宋体" w:eastAsia="宋体" w:cs="宋体"/>
                <w:spacing w:val="0"/>
                <w:sz w:val="26"/>
                <w:szCs w:val="26"/>
              </w:rPr>
              <w:t>2、其他合格供应商的报价得分按如下公式计算：报价得分=(基准价/报价)×30;</w:t>
            </w:r>
          </w:p>
        </w:tc>
      </w:tr>
      <w:tr w14:paraId="2816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8" w:hRule="atLeast"/>
        </w:trPr>
        <w:tc>
          <w:tcPr>
            <w:tcW w:w="647" w:type="pct"/>
            <w:vMerge w:val="restart"/>
            <w:tcBorders>
              <w:top w:val="single" w:color="auto" w:sz="4" w:space="0"/>
              <w:left w:val="single" w:color="auto" w:sz="4" w:space="0"/>
              <w:bottom w:val="single" w:color="auto" w:sz="4" w:space="0"/>
              <w:right w:val="single" w:color="auto" w:sz="4" w:space="0"/>
            </w:tcBorders>
            <w:noWrap w:val="0"/>
            <w:vAlign w:val="center"/>
          </w:tcPr>
          <w:p w14:paraId="288CE19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pacing w:val="0"/>
                <w:sz w:val="24"/>
                <w:szCs w:val="24"/>
              </w:rPr>
            </w:pPr>
            <w:r>
              <w:rPr>
                <w:rFonts w:hint="eastAsia" w:ascii="宋体" w:hAnsi="宋体" w:cs="宋体"/>
                <w:spacing w:val="0"/>
                <w:sz w:val="24"/>
                <w:szCs w:val="24"/>
              </w:rPr>
              <w:t>技术分</w:t>
            </w:r>
          </w:p>
          <w:p w14:paraId="13965B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pacing w:val="0"/>
                <w:sz w:val="24"/>
                <w:szCs w:val="24"/>
              </w:rPr>
            </w:pPr>
            <w:r>
              <w:rPr>
                <w:rFonts w:hint="eastAsia" w:ascii="宋体" w:hAnsi="宋体" w:cs="宋体"/>
                <w:spacing w:val="0"/>
                <w:sz w:val="24"/>
                <w:szCs w:val="24"/>
              </w:rPr>
              <w:t>（60分）</w:t>
            </w:r>
          </w:p>
        </w:tc>
        <w:tc>
          <w:tcPr>
            <w:tcW w:w="1109" w:type="pct"/>
            <w:tcBorders>
              <w:top w:val="single" w:color="auto" w:sz="4" w:space="0"/>
              <w:left w:val="single" w:color="auto" w:sz="4" w:space="0"/>
              <w:right w:val="single" w:color="auto" w:sz="4" w:space="0"/>
            </w:tcBorders>
            <w:noWrap w:val="0"/>
            <w:vAlign w:val="top"/>
          </w:tcPr>
          <w:p w14:paraId="67E27974">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3DACD412">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12F1F7E3">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236DD9B3">
            <w:pPr>
              <w:pStyle w:val="41"/>
              <w:keepNext w:val="0"/>
              <w:keepLines w:val="0"/>
              <w:pageBreakBefore w:val="0"/>
              <w:widowControl w:val="0"/>
              <w:kinsoku/>
              <w:wordWrap/>
              <w:overflowPunct/>
              <w:topLinePunct w:val="0"/>
              <w:autoSpaceDE/>
              <w:autoSpaceDN/>
              <w:bidi w:val="0"/>
              <w:adjustRightInd/>
              <w:snapToGrid/>
              <w:spacing w:line="400" w:lineRule="exact"/>
              <w:ind w:firstLine="585" w:firstLineChars="0"/>
              <w:textAlignment w:val="auto"/>
              <w:rPr>
                <w:spacing w:val="0"/>
              </w:rPr>
            </w:pPr>
          </w:p>
          <w:p w14:paraId="680BA9C2">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51666FBA">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0416F496">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222F8796">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1A85F1BE">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7BA1893B">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416F3394">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43F7E452">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4B0FA588">
            <w:pPr>
              <w:keepNext w:val="0"/>
              <w:keepLines w:val="0"/>
              <w:pageBreakBefore w:val="0"/>
              <w:widowControl w:val="0"/>
              <w:kinsoku/>
              <w:wordWrap/>
              <w:overflowPunct/>
              <w:topLinePunct w:val="0"/>
              <w:autoSpaceDE/>
              <w:autoSpaceDN/>
              <w:bidi w:val="0"/>
              <w:adjustRightInd/>
              <w:snapToGrid/>
              <w:spacing w:before="85" w:line="400" w:lineRule="exact"/>
              <w:ind w:left="120" w:right="497"/>
              <w:textAlignment w:val="auto"/>
              <w:rPr>
                <w:rFonts w:ascii="宋体" w:hAnsi="宋体" w:eastAsia="宋体" w:cs="宋体"/>
                <w:spacing w:val="0"/>
                <w:sz w:val="26"/>
                <w:szCs w:val="26"/>
              </w:rPr>
            </w:pPr>
            <w:r>
              <w:rPr>
                <w:rFonts w:ascii="宋体" w:hAnsi="宋体" w:eastAsia="宋体" w:cs="宋体"/>
                <w:spacing w:val="0"/>
                <w:sz w:val="26"/>
                <w:szCs w:val="26"/>
              </w:rPr>
              <w:t>项目设计策划方案</w:t>
            </w:r>
          </w:p>
          <w:p w14:paraId="07737D9A">
            <w:pPr>
              <w:keepNext w:val="0"/>
              <w:keepLines w:val="0"/>
              <w:pageBreakBefore w:val="0"/>
              <w:widowControl w:val="0"/>
              <w:kinsoku/>
              <w:wordWrap/>
              <w:overflowPunct/>
              <w:topLinePunct w:val="0"/>
              <w:autoSpaceDE/>
              <w:autoSpaceDN/>
              <w:bidi w:val="0"/>
              <w:adjustRightInd/>
              <w:snapToGrid/>
              <w:spacing w:before="3" w:line="400" w:lineRule="exact"/>
              <w:ind w:left="120"/>
              <w:textAlignment w:val="auto"/>
              <w:rPr>
                <w:rFonts w:ascii="宋体" w:hAnsi="宋体" w:eastAsia="宋体" w:cs="宋体"/>
                <w:spacing w:val="0"/>
                <w:sz w:val="26"/>
                <w:szCs w:val="26"/>
              </w:rPr>
            </w:pPr>
            <w:r>
              <w:rPr>
                <w:rFonts w:ascii="宋体" w:hAnsi="宋体" w:eastAsia="宋体" w:cs="宋体"/>
                <w:spacing w:val="0"/>
                <w:sz w:val="26"/>
                <w:szCs w:val="26"/>
              </w:rPr>
              <w:t>(45分)</w:t>
            </w:r>
          </w:p>
          <w:p w14:paraId="649DBA03">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23406978">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41FDC5C8">
            <w:pPr>
              <w:keepNext w:val="0"/>
              <w:keepLines w:val="0"/>
              <w:pageBreakBefore w:val="0"/>
              <w:widowControl w:val="0"/>
              <w:kinsoku/>
              <w:wordWrap/>
              <w:overflowPunct/>
              <w:topLinePunct w:val="0"/>
              <w:autoSpaceDE/>
              <w:autoSpaceDN/>
              <w:bidi w:val="0"/>
              <w:adjustRightInd/>
              <w:snapToGrid/>
              <w:spacing w:before="85" w:line="400" w:lineRule="exact"/>
              <w:ind w:left="730" w:leftChars="0"/>
              <w:textAlignment w:val="auto"/>
              <w:rPr>
                <w:rFonts w:ascii="宋体" w:hAnsi="宋体" w:cs="宋体"/>
                <w:spacing w:val="0"/>
                <w:sz w:val="24"/>
                <w:szCs w:val="24"/>
              </w:rPr>
            </w:pPr>
          </w:p>
        </w:tc>
        <w:tc>
          <w:tcPr>
            <w:tcW w:w="3243" w:type="pct"/>
            <w:tcBorders>
              <w:top w:val="single" w:color="auto" w:sz="4" w:space="0"/>
              <w:left w:val="single" w:color="auto" w:sz="4" w:space="0"/>
              <w:right w:val="single" w:color="auto" w:sz="4" w:space="0"/>
            </w:tcBorders>
            <w:noWrap w:val="0"/>
            <w:vAlign w:val="top"/>
          </w:tcPr>
          <w:p w14:paraId="29C636FD">
            <w:pPr>
              <w:keepNext w:val="0"/>
              <w:keepLines w:val="0"/>
              <w:pageBreakBefore w:val="0"/>
              <w:widowControl w:val="0"/>
              <w:kinsoku/>
              <w:wordWrap/>
              <w:overflowPunct/>
              <w:topLinePunct w:val="0"/>
              <w:autoSpaceDE/>
              <w:autoSpaceDN/>
              <w:bidi w:val="0"/>
              <w:adjustRightInd/>
              <w:snapToGrid/>
              <w:spacing w:before="141" w:line="400" w:lineRule="exact"/>
              <w:ind w:left="33"/>
              <w:jc w:val="both"/>
              <w:textAlignment w:val="auto"/>
              <w:rPr>
                <w:rFonts w:ascii="宋体" w:hAnsi="宋体" w:eastAsia="宋体" w:cs="宋体"/>
                <w:spacing w:val="0"/>
                <w:sz w:val="26"/>
                <w:szCs w:val="26"/>
              </w:rPr>
            </w:pPr>
            <w:r>
              <w:rPr>
                <w:rFonts w:ascii="宋体" w:hAnsi="宋体" w:eastAsia="宋体" w:cs="宋体"/>
                <w:spacing w:val="0"/>
                <w:sz w:val="26"/>
                <w:szCs w:val="26"/>
              </w:rPr>
              <w:t>根据各响应供应商提供对本项目整体组织、项目整体实施的建议和方案进行评审，包含项目管理措施、项目实施计划、项目进度安排、现场管控、质量控制措施、服务进度保证措施等：</w:t>
            </w:r>
          </w:p>
          <w:p w14:paraId="2233D528">
            <w:pPr>
              <w:keepNext w:val="0"/>
              <w:keepLines w:val="0"/>
              <w:pageBreakBefore w:val="0"/>
              <w:widowControl w:val="0"/>
              <w:kinsoku/>
              <w:wordWrap/>
              <w:overflowPunct/>
              <w:topLinePunct w:val="0"/>
              <w:autoSpaceDE/>
              <w:autoSpaceDN/>
              <w:bidi w:val="0"/>
              <w:adjustRightInd/>
              <w:snapToGrid/>
              <w:spacing w:line="400" w:lineRule="exact"/>
              <w:ind w:left="152"/>
              <w:textAlignment w:val="auto"/>
              <w:rPr>
                <w:spacing w:val="0"/>
              </w:rPr>
            </w:pPr>
            <w:r>
              <w:rPr>
                <w:rFonts w:ascii="宋体" w:hAnsi="宋体" w:eastAsia="宋体" w:cs="宋体"/>
                <w:spacing w:val="0"/>
                <w:sz w:val="26"/>
                <w:szCs w:val="26"/>
              </w:rPr>
              <w:t>一档(15分):方案仅满足项目要求；</w:t>
            </w:r>
          </w:p>
          <w:p w14:paraId="3B1F379D">
            <w:pPr>
              <w:keepNext w:val="0"/>
              <w:keepLines w:val="0"/>
              <w:pageBreakBefore w:val="0"/>
              <w:widowControl w:val="0"/>
              <w:kinsoku/>
              <w:wordWrap/>
              <w:overflowPunct/>
              <w:topLinePunct w:val="0"/>
              <w:autoSpaceDE/>
              <w:autoSpaceDN/>
              <w:bidi w:val="0"/>
              <w:adjustRightInd/>
              <w:snapToGrid/>
              <w:spacing w:before="85" w:line="400" w:lineRule="exact"/>
              <w:ind w:left="152" w:right="155"/>
              <w:textAlignment w:val="auto"/>
              <w:rPr>
                <w:rFonts w:ascii="宋体" w:hAnsi="宋体" w:eastAsia="宋体" w:cs="宋体"/>
                <w:spacing w:val="0"/>
                <w:sz w:val="26"/>
                <w:szCs w:val="26"/>
              </w:rPr>
            </w:pPr>
            <w:r>
              <w:rPr>
                <w:rFonts w:ascii="宋体" w:hAnsi="宋体" w:eastAsia="宋体" w:cs="宋体"/>
                <w:spacing w:val="0"/>
                <w:sz w:val="26"/>
                <w:szCs w:val="26"/>
              </w:rPr>
              <w:t>二档(30分):方案完全符合项目要求，反映主题，整体统一协调，衔接有序；</w:t>
            </w:r>
          </w:p>
          <w:p w14:paraId="47D7D1D8">
            <w:pPr>
              <w:keepNext w:val="0"/>
              <w:keepLines w:val="0"/>
              <w:pageBreakBefore w:val="0"/>
              <w:widowControl w:val="0"/>
              <w:kinsoku/>
              <w:wordWrap/>
              <w:overflowPunct/>
              <w:topLinePunct w:val="0"/>
              <w:autoSpaceDE/>
              <w:autoSpaceDN/>
              <w:bidi w:val="0"/>
              <w:adjustRightInd/>
              <w:snapToGrid/>
              <w:spacing w:before="1" w:line="400" w:lineRule="exact"/>
              <w:ind w:left="152" w:right="10"/>
              <w:textAlignment w:val="auto"/>
              <w:rPr>
                <w:rFonts w:ascii="宋体" w:hAnsi="宋体" w:eastAsia="宋体" w:cs="宋体"/>
                <w:spacing w:val="0"/>
                <w:sz w:val="26"/>
                <w:szCs w:val="26"/>
              </w:rPr>
            </w:pPr>
            <w:r>
              <w:rPr>
                <w:rFonts w:ascii="宋体" w:hAnsi="宋体" w:eastAsia="宋体" w:cs="宋体"/>
                <w:spacing w:val="0"/>
                <w:sz w:val="26"/>
                <w:szCs w:val="26"/>
              </w:rPr>
              <w:t>三档(45分):方案完全符合项目要求，主题须鲜明，创意新颖，整体统一协调，安排合理，具有操作性、针对性。提供设计理念，主题与项目功能、企业文化、落成意义高度匹配，并附带活动筹备至活动结束整体策划全案、流程详解、并符合外事安排要求及外交礼仪规范；附带场地测绘、人员车辆动线规划图，能配合主办方形成具有可执行性安保措施并提供指导意见；附带详尽设计说明、主体视觉符号推导、色彩定义及可视化演绎过程；附带在如剪彩、揭幕等主环节中设计独特，含科技互动装置并提供可视化演绎过程。</w:t>
            </w:r>
          </w:p>
          <w:p w14:paraId="334F958C">
            <w:pPr>
              <w:keepNext w:val="0"/>
              <w:keepLines w:val="0"/>
              <w:pageBreakBefore w:val="0"/>
              <w:widowControl w:val="0"/>
              <w:kinsoku/>
              <w:wordWrap/>
              <w:overflowPunct/>
              <w:topLinePunct w:val="0"/>
              <w:autoSpaceDE/>
              <w:autoSpaceDN/>
              <w:bidi w:val="0"/>
              <w:adjustRightInd/>
              <w:snapToGrid/>
              <w:spacing w:line="400" w:lineRule="exact"/>
              <w:ind w:left="152" w:leftChars="0"/>
              <w:textAlignment w:val="auto"/>
              <w:rPr>
                <w:rFonts w:ascii="宋体" w:hAnsi="宋体" w:cs="宋体"/>
                <w:spacing w:val="0"/>
                <w:sz w:val="24"/>
                <w:szCs w:val="24"/>
              </w:rPr>
            </w:pPr>
            <w:r>
              <w:rPr>
                <w:rFonts w:ascii="宋体" w:hAnsi="宋体" w:eastAsia="宋体" w:cs="宋体"/>
                <w:spacing w:val="0"/>
                <w:sz w:val="26"/>
                <w:szCs w:val="26"/>
              </w:rPr>
              <w:t>注：提供的项目设计方案详细程度差、质量、进度及安全保证措施实施办法差，操作性差的不得分。</w:t>
            </w:r>
          </w:p>
        </w:tc>
      </w:tr>
      <w:tr w14:paraId="778D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1366717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pacing w:val="0"/>
                <w:sz w:val="24"/>
                <w:szCs w:val="24"/>
              </w:rPr>
            </w:pPr>
          </w:p>
        </w:tc>
        <w:tc>
          <w:tcPr>
            <w:tcW w:w="1109" w:type="pct"/>
            <w:tcBorders>
              <w:top w:val="single" w:color="auto" w:sz="4" w:space="0"/>
              <w:left w:val="single" w:color="auto" w:sz="4" w:space="0"/>
              <w:bottom w:val="single" w:color="auto" w:sz="4" w:space="0"/>
              <w:right w:val="single" w:color="auto" w:sz="4" w:space="0"/>
            </w:tcBorders>
            <w:noWrap w:val="0"/>
            <w:vAlign w:val="top"/>
          </w:tcPr>
          <w:p w14:paraId="6EF7DFA2">
            <w:pPr>
              <w:keepNext w:val="0"/>
              <w:keepLines w:val="0"/>
              <w:pageBreakBefore w:val="0"/>
              <w:widowControl w:val="0"/>
              <w:kinsoku/>
              <w:wordWrap/>
              <w:overflowPunct/>
              <w:topLinePunct w:val="0"/>
              <w:autoSpaceDE/>
              <w:autoSpaceDN/>
              <w:bidi w:val="0"/>
              <w:adjustRightInd/>
              <w:snapToGrid/>
              <w:spacing w:before="81" w:line="400" w:lineRule="exact"/>
              <w:textAlignment w:val="auto"/>
              <w:rPr>
                <w:rFonts w:hint="default" w:eastAsia="宋体"/>
                <w:spacing w:val="0"/>
                <w:lang w:val="en-US" w:eastAsia="zh-CN"/>
              </w:rPr>
            </w:pPr>
            <w:r>
              <w:rPr>
                <w:rFonts w:hint="eastAsia"/>
                <w:spacing w:val="0"/>
                <w:lang w:val="en-US" w:eastAsia="zh-CN"/>
              </w:rPr>
              <w:t>应急方案</w:t>
            </w:r>
          </w:p>
          <w:p w14:paraId="4301888A">
            <w:pPr>
              <w:keepNext w:val="0"/>
              <w:keepLines w:val="0"/>
              <w:pageBreakBefore w:val="0"/>
              <w:widowControl w:val="0"/>
              <w:kinsoku/>
              <w:wordWrap/>
              <w:overflowPunct/>
              <w:topLinePunct w:val="0"/>
              <w:autoSpaceDE/>
              <w:autoSpaceDN/>
              <w:bidi w:val="0"/>
              <w:adjustRightInd/>
              <w:snapToGrid/>
              <w:spacing w:before="82" w:line="400" w:lineRule="exact"/>
              <w:ind w:left="150" w:leftChars="0"/>
              <w:textAlignment w:val="auto"/>
              <w:rPr>
                <w:rFonts w:ascii="宋体" w:hAnsi="宋体" w:cs="宋体"/>
                <w:spacing w:val="0"/>
                <w:sz w:val="24"/>
                <w:szCs w:val="24"/>
              </w:rPr>
            </w:pPr>
            <w:r>
              <w:rPr>
                <w:rFonts w:ascii="宋体" w:hAnsi="宋体" w:eastAsia="宋体" w:cs="宋体"/>
                <w:spacing w:val="0"/>
                <w:sz w:val="25"/>
                <w:szCs w:val="25"/>
              </w:rPr>
              <w:t>(10分)</w:t>
            </w:r>
          </w:p>
        </w:tc>
        <w:tc>
          <w:tcPr>
            <w:tcW w:w="3243" w:type="pct"/>
            <w:tcBorders>
              <w:top w:val="single" w:color="auto" w:sz="4" w:space="0"/>
              <w:left w:val="single" w:color="auto" w:sz="4" w:space="0"/>
              <w:bottom w:val="single" w:color="auto" w:sz="4" w:space="0"/>
              <w:right w:val="single" w:color="auto" w:sz="4" w:space="0"/>
            </w:tcBorders>
            <w:noWrap w:val="0"/>
            <w:vAlign w:val="top"/>
          </w:tcPr>
          <w:p w14:paraId="71B1C8B1">
            <w:pPr>
              <w:keepNext w:val="0"/>
              <w:keepLines w:val="0"/>
              <w:pageBreakBefore w:val="0"/>
              <w:widowControl w:val="0"/>
              <w:kinsoku/>
              <w:wordWrap/>
              <w:overflowPunct/>
              <w:topLinePunct w:val="0"/>
              <w:autoSpaceDE/>
              <w:autoSpaceDN/>
              <w:bidi w:val="0"/>
              <w:adjustRightInd/>
              <w:snapToGrid/>
              <w:spacing w:before="122" w:line="400" w:lineRule="exact"/>
              <w:ind w:left="172" w:right="33"/>
              <w:textAlignment w:val="auto"/>
              <w:rPr>
                <w:rFonts w:ascii="宋体" w:hAnsi="宋体" w:eastAsia="宋体" w:cs="宋体"/>
                <w:spacing w:val="0"/>
                <w:sz w:val="25"/>
                <w:szCs w:val="25"/>
              </w:rPr>
            </w:pPr>
            <w:r>
              <w:rPr>
                <w:rFonts w:ascii="宋体" w:hAnsi="宋体" w:eastAsia="宋体" w:cs="宋体"/>
                <w:spacing w:val="0"/>
                <w:sz w:val="25"/>
                <w:szCs w:val="25"/>
              </w:rPr>
              <w:t>供应商需提供应急保障方案。在此基础上，采购小组根据供应商针对本项目提供的应急服务响应情况进行评审：</w:t>
            </w:r>
          </w:p>
          <w:p w14:paraId="5F87C8F2">
            <w:pPr>
              <w:keepNext w:val="0"/>
              <w:keepLines w:val="0"/>
              <w:pageBreakBefore w:val="0"/>
              <w:widowControl w:val="0"/>
              <w:kinsoku/>
              <w:wordWrap/>
              <w:overflowPunct/>
              <w:topLinePunct w:val="0"/>
              <w:autoSpaceDE/>
              <w:autoSpaceDN/>
              <w:bidi w:val="0"/>
              <w:adjustRightInd/>
              <w:snapToGrid/>
              <w:spacing w:line="400" w:lineRule="exact"/>
              <w:ind w:left="152"/>
              <w:textAlignment w:val="auto"/>
              <w:rPr>
                <w:spacing w:val="0"/>
              </w:rPr>
            </w:pPr>
            <w:r>
              <w:rPr>
                <w:rFonts w:ascii="宋体" w:hAnsi="宋体" w:eastAsia="宋体" w:cs="宋体"/>
                <w:spacing w:val="0"/>
                <w:sz w:val="25"/>
                <w:szCs w:val="25"/>
              </w:rPr>
              <w:t>一档(3分):仅满足项目需求；</w:t>
            </w:r>
          </w:p>
          <w:p w14:paraId="03A85D0C">
            <w:pPr>
              <w:keepNext w:val="0"/>
              <w:keepLines w:val="0"/>
              <w:pageBreakBefore w:val="0"/>
              <w:widowControl w:val="0"/>
              <w:kinsoku/>
              <w:wordWrap/>
              <w:overflowPunct/>
              <w:topLinePunct w:val="0"/>
              <w:autoSpaceDE/>
              <w:autoSpaceDN/>
              <w:bidi w:val="0"/>
              <w:adjustRightInd/>
              <w:snapToGrid/>
              <w:spacing w:before="81" w:line="400" w:lineRule="exact"/>
              <w:ind w:left="172"/>
              <w:textAlignment w:val="auto"/>
              <w:rPr>
                <w:spacing w:val="0"/>
              </w:rPr>
            </w:pPr>
            <w:r>
              <w:rPr>
                <w:rFonts w:ascii="宋体" w:hAnsi="宋体" w:eastAsia="宋体" w:cs="宋体"/>
                <w:spacing w:val="0"/>
                <w:sz w:val="25"/>
                <w:szCs w:val="25"/>
              </w:rPr>
              <w:t>二档(6分):应急方案合理，方案有突出点，但缺少针对性</w:t>
            </w:r>
          </w:p>
          <w:p w14:paraId="071283AA">
            <w:pPr>
              <w:keepNext w:val="0"/>
              <w:keepLines w:val="0"/>
              <w:pageBreakBefore w:val="0"/>
              <w:widowControl w:val="0"/>
              <w:kinsoku/>
              <w:wordWrap/>
              <w:overflowPunct/>
              <w:topLinePunct w:val="0"/>
              <w:autoSpaceDE/>
              <w:autoSpaceDN/>
              <w:bidi w:val="0"/>
              <w:adjustRightInd/>
              <w:snapToGrid/>
              <w:spacing w:before="81" w:line="400" w:lineRule="exact"/>
              <w:ind w:left="182" w:leftChars="0" w:right="18" w:rightChars="0"/>
              <w:textAlignment w:val="auto"/>
              <w:rPr>
                <w:rFonts w:ascii="宋体" w:hAnsi="宋体" w:eastAsia="宋体" w:cs="宋体"/>
                <w:spacing w:val="0"/>
                <w:sz w:val="25"/>
                <w:szCs w:val="25"/>
              </w:rPr>
            </w:pPr>
            <w:r>
              <w:rPr>
                <w:rFonts w:ascii="宋体" w:hAnsi="宋体" w:eastAsia="宋体" w:cs="宋体"/>
                <w:spacing w:val="0"/>
                <w:sz w:val="25"/>
                <w:szCs w:val="25"/>
              </w:rPr>
              <w:t>三档(10分):供应商具有的处理应急事件的能力，方案附带核心岗位说明；附带异常行为监测系统及整体方案拓扑图；接到采购人临时需求或突发紧急状况具有有效的解决途径，应急合理可行，方案详实，有针对性，保障措施到位，对项目有推动作用。</w:t>
            </w:r>
          </w:p>
        </w:tc>
      </w:tr>
      <w:tr w14:paraId="0BB8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5899BF8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pacing w:val="0"/>
                <w:sz w:val="24"/>
                <w:szCs w:val="24"/>
              </w:rPr>
            </w:pPr>
          </w:p>
        </w:tc>
        <w:tc>
          <w:tcPr>
            <w:tcW w:w="1109" w:type="pct"/>
            <w:tcBorders>
              <w:top w:val="single" w:color="auto" w:sz="4" w:space="0"/>
              <w:left w:val="single" w:color="auto" w:sz="4" w:space="0"/>
              <w:bottom w:val="single" w:color="auto" w:sz="4" w:space="0"/>
              <w:right w:val="single" w:color="auto" w:sz="4" w:space="0"/>
            </w:tcBorders>
            <w:noWrap w:val="0"/>
            <w:vAlign w:val="center"/>
          </w:tcPr>
          <w:p w14:paraId="748B5E3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pacing w:val="0"/>
                <w:sz w:val="24"/>
                <w:szCs w:val="24"/>
              </w:rPr>
            </w:pPr>
            <w:r>
              <w:rPr>
                <w:rFonts w:hint="eastAsia" w:ascii="宋体" w:hAnsi="宋体" w:cs="宋体"/>
                <w:spacing w:val="0"/>
                <w:sz w:val="24"/>
                <w:szCs w:val="24"/>
              </w:rPr>
              <w:t>人员及设备投入（</w:t>
            </w:r>
            <w:r>
              <w:rPr>
                <w:rFonts w:hint="eastAsia" w:ascii="宋体" w:hAnsi="宋体" w:cs="宋体"/>
                <w:spacing w:val="0"/>
                <w:sz w:val="24"/>
                <w:szCs w:val="24"/>
                <w:lang w:val="en-US" w:eastAsia="zh-CN"/>
              </w:rPr>
              <w:t>5</w:t>
            </w:r>
            <w:r>
              <w:rPr>
                <w:rFonts w:hint="eastAsia" w:ascii="宋体" w:hAnsi="宋体" w:cs="宋体"/>
                <w:spacing w:val="0"/>
                <w:sz w:val="24"/>
                <w:szCs w:val="24"/>
              </w:rPr>
              <w:t>分）</w:t>
            </w:r>
          </w:p>
        </w:tc>
        <w:tc>
          <w:tcPr>
            <w:tcW w:w="3243" w:type="pct"/>
            <w:tcBorders>
              <w:top w:val="single" w:color="auto" w:sz="4" w:space="0"/>
              <w:left w:val="single" w:color="auto" w:sz="4" w:space="0"/>
              <w:bottom w:val="single" w:color="auto" w:sz="4" w:space="0"/>
              <w:right w:val="single" w:color="auto" w:sz="4" w:space="0"/>
            </w:tcBorders>
            <w:noWrap w:val="0"/>
            <w:vAlign w:val="center"/>
          </w:tcPr>
          <w:p w14:paraId="1E6244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pacing w:val="0"/>
                <w:sz w:val="24"/>
                <w:szCs w:val="24"/>
              </w:rPr>
            </w:pPr>
            <w:r>
              <w:rPr>
                <w:rFonts w:hint="eastAsia" w:ascii="宋体" w:hAnsi="宋体" w:cs="宋体"/>
                <w:spacing w:val="0"/>
                <w:sz w:val="24"/>
                <w:szCs w:val="24"/>
              </w:rPr>
              <w:t>供应商需提供人员及设备投入方案。包含人员配备明细表、人员职责分工及详细工作安排等。</w:t>
            </w:r>
          </w:p>
          <w:p w14:paraId="492BBCC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0"/>
                <w:sz w:val="24"/>
                <w:szCs w:val="24"/>
                <w:lang w:eastAsia="zh-CN"/>
              </w:rPr>
            </w:pPr>
            <w:r>
              <w:rPr>
                <w:rFonts w:hint="eastAsia" w:ascii="宋体" w:hAnsi="宋体" w:cs="宋体"/>
                <w:spacing w:val="0"/>
                <w:sz w:val="24"/>
                <w:szCs w:val="24"/>
              </w:rPr>
              <w:t>一档(1分):仅满足项目需求。</w:t>
            </w:r>
          </w:p>
          <w:p w14:paraId="0D5E871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pacing w:val="0"/>
                <w:sz w:val="24"/>
                <w:szCs w:val="24"/>
              </w:rPr>
            </w:pPr>
            <w:r>
              <w:rPr>
                <w:rFonts w:hint="eastAsia" w:ascii="宋体" w:hAnsi="宋体" w:cs="宋体"/>
                <w:spacing w:val="0"/>
                <w:sz w:val="24"/>
                <w:szCs w:val="24"/>
              </w:rPr>
              <w:t>二档(2分):设备及人员配备方案合理，有清单；</w:t>
            </w:r>
          </w:p>
          <w:p w14:paraId="1FF265C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pacing w:val="0"/>
                <w:sz w:val="24"/>
                <w:szCs w:val="24"/>
              </w:rPr>
            </w:pPr>
            <w:r>
              <w:rPr>
                <w:rFonts w:hint="eastAsia" w:ascii="宋体" w:hAnsi="宋体" w:cs="宋体"/>
                <w:spacing w:val="0"/>
                <w:sz w:val="24"/>
                <w:szCs w:val="24"/>
              </w:rPr>
              <w:t>三档(5分):设备及人员配备方案在满足二档情况下，针对异常行为监测系统的软硬件配备(含云服务器、识别主机、摄像头接入、管理平台、算法授权)。</w:t>
            </w:r>
          </w:p>
        </w:tc>
      </w:tr>
      <w:tr w14:paraId="4C88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647" w:type="pct"/>
            <w:tcBorders>
              <w:top w:val="single" w:color="auto" w:sz="4" w:space="0"/>
              <w:left w:val="single" w:color="auto" w:sz="4" w:space="0"/>
              <w:bottom w:val="single" w:color="auto" w:sz="4" w:space="0"/>
              <w:right w:val="single" w:color="auto" w:sz="4" w:space="0"/>
            </w:tcBorders>
            <w:noWrap w:val="0"/>
            <w:vAlign w:val="center"/>
          </w:tcPr>
          <w:p w14:paraId="47079EF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pacing w:val="0"/>
                <w:sz w:val="24"/>
                <w:szCs w:val="24"/>
              </w:rPr>
            </w:pPr>
            <w:r>
              <w:rPr>
                <w:rFonts w:hint="eastAsia" w:ascii="宋体" w:hAnsi="宋体" w:cs="宋体"/>
                <w:spacing w:val="0"/>
                <w:sz w:val="24"/>
                <w:szCs w:val="24"/>
              </w:rPr>
              <w:t>商务部分（</w:t>
            </w:r>
            <w:r>
              <w:rPr>
                <w:rFonts w:hint="eastAsia" w:ascii="宋体" w:hAnsi="宋体" w:cs="宋体"/>
                <w:spacing w:val="0"/>
                <w:sz w:val="24"/>
                <w:szCs w:val="24"/>
                <w:lang w:val="en-US" w:eastAsia="zh-CN"/>
              </w:rPr>
              <w:t>10</w:t>
            </w:r>
            <w:r>
              <w:rPr>
                <w:rFonts w:hint="eastAsia" w:ascii="宋体" w:hAnsi="宋体" w:cs="宋体"/>
                <w:spacing w:val="0"/>
                <w:sz w:val="24"/>
                <w:szCs w:val="24"/>
              </w:rPr>
              <w:t>分）</w:t>
            </w:r>
          </w:p>
        </w:tc>
        <w:tc>
          <w:tcPr>
            <w:tcW w:w="1109" w:type="pct"/>
            <w:tcBorders>
              <w:top w:val="single" w:color="auto" w:sz="4" w:space="0"/>
              <w:left w:val="single" w:color="auto" w:sz="4" w:space="0"/>
              <w:bottom w:val="single" w:color="auto" w:sz="4" w:space="0"/>
              <w:right w:val="single" w:color="auto" w:sz="4" w:space="0"/>
            </w:tcBorders>
            <w:noWrap w:val="0"/>
            <w:vAlign w:val="center"/>
          </w:tcPr>
          <w:p w14:paraId="767CB2D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pacing w:val="0"/>
                <w:sz w:val="24"/>
                <w:szCs w:val="24"/>
              </w:rPr>
            </w:pPr>
            <w:r>
              <w:rPr>
                <w:rFonts w:hint="eastAsia" w:ascii="宋体" w:hAnsi="宋体" w:cs="宋体"/>
                <w:spacing w:val="0"/>
                <w:sz w:val="24"/>
                <w:szCs w:val="24"/>
              </w:rPr>
              <w:t>业绩分</w:t>
            </w:r>
          </w:p>
          <w:p w14:paraId="44B531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pacing w:val="0"/>
                <w:sz w:val="24"/>
                <w:szCs w:val="24"/>
              </w:rPr>
            </w:pPr>
            <w:r>
              <w:rPr>
                <w:rFonts w:hint="eastAsia" w:ascii="宋体" w:hAnsi="宋体" w:cs="宋体"/>
                <w:spacing w:val="0"/>
                <w:sz w:val="24"/>
                <w:szCs w:val="24"/>
              </w:rPr>
              <w:t>（</w:t>
            </w:r>
            <w:r>
              <w:rPr>
                <w:rFonts w:hint="eastAsia" w:ascii="宋体" w:hAnsi="宋体" w:cs="宋体"/>
                <w:spacing w:val="0"/>
                <w:sz w:val="24"/>
                <w:szCs w:val="24"/>
                <w:lang w:val="en-US" w:eastAsia="zh-CN"/>
              </w:rPr>
              <w:t>10</w:t>
            </w:r>
            <w:r>
              <w:rPr>
                <w:rFonts w:hint="eastAsia" w:ascii="宋体" w:hAnsi="宋体" w:cs="宋体"/>
                <w:spacing w:val="0"/>
                <w:sz w:val="24"/>
                <w:szCs w:val="24"/>
              </w:rPr>
              <w:t>分）</w:t>
            </w:r>
          </w:p>
        </w:tc>
        <w:tc>
          <w:tcPr>
            <w:tcW w:w="3243" w:type="pct"/>
            <w:tcBorders>
              <w:top w:val="single" w:color="auto" w:sz="4" w:space="0"/>
              <w:left w:val="single" w:color="auto" w:sz="4" w:space="0"/>
              <w:bottom w:val="single" w:color="auto" w:sz="4" w:space="0"/>
              <w:right w:val="single" w:color="auto" w:sz="4" w:space="0"/>
            </w:tcBorders>
            <w:noWrap w:val="0"/>
            <w:vAlign w:val="center"/>
          </w:tcPr>
          <w:p w14:paraId="0AF9C7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eastAsia="宋体" w:cs="宋体"/>
                <w:spacing w:val="0"/>
                <w:sz w:val="25"/>
                <w:szCs w:val="25"/>
              </w:rPr>
            </w:pPr>
            <w:r>
              <w:rPr>
                <w:rFonts w:hint="eastAsia" w:ascii="宋体" w:hAnsi="宋体" w:eastAsia="宋体" w:cs="宋体"/>
                <w:spacing w:val="0"/>
                <w:sz w:val="25"/>
                <w:szCs w:val="25"/>
              </w:rPr>
              <w:t>供应商2022年1月1日至响应文件递交截止时间具有同类项目业绩，每项得1分，满分4分。团队有大型公共活动提供数字化展会服务工具案例的，每项得2分，满分4分。团队有大型公共活动线上+线下媒体宣传矩阵服务案例的，每项得2分，满分4分。</w:t>
            </w:r>
            <w:r>
              <w:rPr>
                <w:rFonts w:ascii="宋体" w:hAnsi="宋体" w:eastAsia="宋体" w:cs="宋体"/>
                <w:spacing w:val="0"/>
                <w:sz w:val="25"/>
                <w:szCs w:val="25"/>
              </w:rPr>
              <w:t>(响应文件提供合同复印件并加盖供应商单位公章，否则不计分，原件备查)</w:t>
            </w:r>
          </w:p>
        </w:tc>
      </w:tr>
      <w:tr w14:paraId="4FA6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00AE82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pacing w:val="0"/>
                <w:sz w:val="24"/>
                <w:szCs w:val="24"/>
              </w:rPr>
            </w:pPr>
            <w:r>
              <w:rPr>
                <w:rFonts w:hint="eastAsia" w:ascii="宋体" w:hAnsi="宋体" w:cs="宋体"/>
                <w:spacing w:val="0"/>
                <w:sz w:val="24"/>
                <w:szCs w:val="24"/>
              </w:rPr>
              <w:t>总分=1+2+3（100分）</w:t>
            </w:r>
          </w:p>
        </w:tc>
      </w:tr>
    </w:tbl>
    <w:p w14:paraId="55980084">
      <w:pPr>
        <w:rPr>
          <w:rFonts w:ascii="Arial"/>
          <w:spacing w:val="0"/>
          <w:sz w:val="21"/>
          <w:highlight w:val="none"/>
        </w:rPr>
      </w:pPr>
    </w:p>
    <w:p w14:paraId="61EDE115">
      <w:pPr>
        <w:rPr>
          <w:rFonts w:hint="eastAsia" w:ascii="Arial" w:hAnsi="Arial" w:eastAsia="Arial" w:cs="Arial"/>
          <w:spacing w:val="0"/>
          <w:sz w:val="21"/>
          <w:szCs w:val="21"/>
          <w:highlight w:val="none"/>
        </w:rPr>
      </w:pPr>
      <w:r>
        <w:rPr>
          <w:rFonts w:hint="eastAsia" w:ascii="Arial" w:hAnsi="Arial" w:eastAsia="Arial" w:cs="Arial"/>
          <w:spacing w:val="0"/>
          <w:sz w:val="21"/>
          <w:szCs w:val="21"/>
          <w:highlight w:val="none"/>
        </w:rPr>
        <w:t>注：计分方法按四舍五入取至百分位。</w:t>
      </w:r>
    </w:p>
    <w:p w14:paraId="717698AF">
      <w:pPr>
        <w:rPr>
          <w:rFonts w:ascii="仿宋" w:hAnsi="仿宋" w:eastAsia="仿宋" w:cs="仿宋"/>
          <w:bCs/>
          <w:spacing w:val="0"/>
          <w:sz w:val="28"/>
          <w:szCs w:val="28"/>
          <w:highlight w:val="none"/>
        </w:rPr>
      </w:pPr>
      <w:r>
        <w:rPr>
          <w:rFonts w:hint="eastAsia" w:ascii="Arial" w:hAnsi="Arial" w:eastAsia="Arial" w:cs="Arial"/>
          <w:spacing w:val="0"/>
          <w:sz w:val="21"/>
          <w:szCs w:val="21"/>
          <w:highlight w:val="none"/>
        </w:rPr>
        <w:t>候选人推荐原则：采购小组将根据总得分由高到低排列次序并推荐中标候选人。得分相同的，以投标报价由低到高顺序排列。得分相同且投标报价相同的并列，报价文件满足招标文件全部实质性要求，且按照评审因素的量化指标评审得分最高的投标人为排名第一的中标候选人(另有约定的除外)</w:t>
      </w:r>
    </w:p>
    <w:sectPr>
      <w:pgSz w:w="11906" w:h="16838"/>
      <w:pgMar w:top="1418" w:right="1555" w:bottom="1418" w:left="1531" w:header="851" w:footer="992" w:gutter="0"/>
      <w:pgBorders>
        <w:top w:val="none" w:sz="0" w:space="0"/>
        <w:left w:val="none" w:sz="0" w:space="0"/>
        <w:bottom w:val="none" w:sz="0" w:space="0"/>
        <w:right w:val="none" w:sz="0" w:space="0"/>
      </w:pgBorders>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D79A">
    <w:pPr>
      <w:pStyle w:val="13"/>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2</w:t>
    </w:r>
    <w:r>
      <w:rPr>
        <w:rFonts w:ascii="Times New Roman" w:hAnsi="Times New Roman" w:eastAsia="仿宋_GB2312"/>
        <w:sz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837CC"/>
    <w:multiLevelType w:val="singleLevel"/>
    <w:tmpl w:val="907837CC"/>
    <w:lvl w:ilvl="0" w:tentative="0">
      <w:start w:val="1"/>
      <w:numFmt w:val="decimal"/>
      <w:lvlText w:val="%1."/>
      <w:lvlJc w:val="left"/>
      <w:pPr>
        <w:tabs>
          <w:tab w:val="left" w:pos="397"/>
        </w:tabs>
        <w:ind w:left="0" w:firstLine="0"/>
      </w:pPr>
      <w:rPr>
        <w:rFonts w:hint="default"/>
      </w:rPr>
    </w:lvl>
  </w:abstractNum>
  <w:abstractNum w:abstractNumId="1">
    <w:nsid w:val="3F4D9D69"/>
    <w:multiLevelType w:val="singleLevel"/>
    <w:tmpl w:val="3F4D9D69"/>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jg0YjRlNWU1MTNmNTNlNDQ0NGVhYTdmNzNlMjllYTEifQ=="/>
  </w:docVars>
  <w:rsids>
    <w:rsidRoot w:val="7DC52EA5"/>
    <w:rsid w:val="0001182B"/>
    <w:rsid w:val="00014122"/>
    <w:rsid w:val="00043EDC"/>
    <w:rsid w:val="00045C7B"/>
    <w:rsid w:val="00054B27"/>
    <w:rsid w:val="00055470"/>
    <w:rsid w:val="00061769"/>
    <w:rsid w:val="00071A4F"/>
    <w:rsid w:val="00080F0B"/>
    <w:rsid w:val="00081AE6"/>
    <w:rsid w:val="00082772"/>
    <w:rsid w:val="000A1EDF"/>
    <w:rsid w:val="000C5FB1"/>
    <w:rsid w:val="000C6C70"/>
    <w:rsid w:val="00100447"/>
    <w:rsid w:val="001062E2"/>
    <w:rsid w:val="00107A7E"/>
    <w:rsid w:val="00111C68"/>
    <w:rsid w:val="0012320E"/>
    <w:rsid w:val="00125313"/>
    <w:rsid w:val="00126564"/>
    <w:rsid w:val="00126A0A"/>
    <w:rsid w:val="0015387F"/>
    <w:rsid w:val="001633FF"/>
    <w:rsid w:val="001942B2"/>
    <w:rsid w:val="00196341"/>
    <w:rsid w:val="001A5659"/>
    <w:rsid w:val="001B1923"/>
    <w:rsid w:val="001B21C5"/>
    <w:rsid w:val="001C076D"/>
    <w:rsid w:val="001C23B1"/>
    <w:rsid w:val="001F37DE"/>
    <w:rsid w:val="00240444"/>
    <w:rsid w:val="00240607"/>
    <w:rsid w:val="00243C65"/>
    <w:rsid w:val="00261511"/>
    <w:rsid w:val="00283239"/>
    <w:rsid w:val="002A3088"/>
    <w:rsid w:val="002C5EB7"/>
    <w:rsid w:val="002D3B8F"/>
    <w:rsid w:val="002D3EB6"/>
    <w:rsid w:val="002F487E"/>
    <w:rsid w:val="00301A28"/>
    <w:rsid w:val="0030745F"/>
    <w:rsid w:val="00322F04"/>
    <w:rsid w:val="003518C4"/>
    <w:rsid w:val="00362F88"/>
    <w:rsid w:val="00381ECF"/>
    <w:rsid w:val="00386FF7"/>
    <w:rsid w:val="00393FB3"/>
    <w:rsid w:val="003975A1"/>
    <w:rsid w:val="003A137A"/>
    <w:rsid w:val="003A2758"/>
    <w:rsid w:val="003F7C76"/>
    <w:rsid w:val="004076FC"/>
    <w:rsid w:val="00422B7B"/>
    <w:rsid w:val="0043007C"/>
    <w:rsid w:val="00432596"/>
    <w:rsid w:val="00432E9A"/>
    <w:rsid w:val="00435EA6"/>
    <w:rsid w:val="00441693"/>
    <w:rsid w:val="0044211D"/>
    <w:rsid w:val="00444D3F"/>
    <w:rsid w:val="00472F26"/>
    <w:rsid w:val="004951A6"/>
    <w:rsid w:val="004A1324"/>
    <w:rsid w:val="004C6BAB"/>
    <w:rsid w:val="004D68B3"/>
    <w:rsid w:val="004E2EB6"/>
    <w:rsid w:val="004F5233"/>
    <w:rsid w:val="0050102E"/>
    <w:rsid w:val="00505804"/>
    <w:rsid w:val="005141E5"/>
    <w:rsid w:val="00522D62"/>
    <w:rsid w:val="00535366"/>
    <w:rsid w:val="005435D4"/>
    <w:rsid w:val="005638E0"/>
    <w:rsid w:val="0057666D"/>
    <w:rsid w:val="0058502D"/>
    <w:rsid w:val="005A6ADD"/>
    <w:rsid w:val="005F1C0C"/>
    <w:rsid w:val="005F3956"/>
    <w:rsid w:val="0061446B"/>
    <w:rsid w:val="006251E3"/>
    <w:rsid w:val="006356B5"/>
    <w:rsid w:val="00652A54"/>
    <w:rsid w:val="00674576"/>
    <w:rsid w:val="0068704D"/>
    <w:rsid w:val="006930AF"/>
    <w:rsid w:val="00693A10"/>
    <w:rsid w:val="006978BC"/>
    <w:rsid w:val="006A23BB"/>
    <w:rsid w:val="006B0D15"/>
    <w:rsid w:val="006D3BD1"/>
    <w:rsid w:val="006D78AB"/>
    <w:rsid w:val="006E6E7D"/>
    <w:rsid w:val="00730CB5"/>
    <w:rsid w:val="00760394"/>
    <w:rsid w:val="00763219"/>
    <w:rsid w:val="007664B2"/>
    <w:rsid w:val="007679A0"/>
    <w:rsid w:val="00782275"/>
    <w:rsid w:val="00784913"/>
    <w:rsid w:val="00786A28"/>
    <w:rsid w:val="00795C07"/>
    <w:rsid w:val="007A163C"/>
    <w:rsid w:val="007B0362"/>
    <w:rsid w:val="007C2667"/>
    <w:rsid w:val="007C65D1"/>
    <w:rsid w:val="007E01DF"/>
    <w:rsid w:val="007E0476"/>
    <w:rsid w:val="007E2623"/>
    <w:rsid w:val="007E507F"/>
    <w:rsid w:val="008050B3"/>
    <w:rsid w:val="00850557"/>
    <w:rsid w:val="00864780"/>
    <w:rsid w:val="00865D1D"/>
    <w:rsid w:val="008C1C7E"/>
    <w:rsid w:val="008D2750"/>
    <w:rsid w:val="008E5264"/>
    <w:rsid w:val="008E7FCE"/>
    <w:rsid w:val="008F2E95"/>
    <w:rsid w:val="009034DF"/>
    <w:rsid w:val="0091297B"/>
    <w:rsid w:val="00920ABE"/>
    <w:rsid w:val="00921224"/>
    <w:rsid w:val="00926C26"/>
    <w:rsid w:val="009343BE"/>
    <w:rsid w:val="00956B38"/>
    <w:rsid w:val="0097530A"/>
    <w:rsid w:val="00977A56"/>
    <w:rsid w:val="00990679"/>
    <w:rsid w:val="00990B9C"/>
    <w:rsid w:val="0099339E"/>
    <w:rsid w:val="009A2547"/>
    <w:rsid w:val="009B11C0"/>
    <w:rsid w:val="009E2EB2"/>
    <w:rsid w:val="00A009F2"/>
    <w:rsid w:val="00A128E1"/>
    <w:rsid w:val="00A34ED0"/>
    <w:rsid w:val="00AA7EA3"/>
    <w:rsid w:val="00AB3939"/>
    <w:rsid w:val="00AB3997"/>
    <w:rsid w:val="00AB3CF9"/>
    <w:rsid w:val="00AC6369"/>
    <w:rsid w:val="00AC6406"/>
    <w:rsid w:val="00AC6B4E"/>
    <w:rsid w:val="00AF024F"/>
    <w:rsid w:val="00B01642"/>
    <w:rsid w:val="00B03B65"/>
    <w:rsid w:val="00B168E7"/>
    <w:rsid w:val="00B2573F"/>
    <w:rsid w:val="00B26C1D"/>
    <w:rsid w:val="00B33F57"/>
    <w:rsid w:val="00B3440F"/>
    <w:rsid w:val="00B36373"/>
    <w:rsid w:val="00B418EA"/>
    <w:rsid w:val="00B65A4F"/>
    <w:rsid w:val="00B75D70"/>
    <w:rsid w:val="00B82B0F"/>
    <w:rsid w:val="00B92E00"/>
    <w:rsid w:val="00B95BE4"/>
    <w:rsid w:val="00BF367B"/>
    <w:rsid w:val="00C06477"/>
    <w:rsid w:val="00C06A1E"/>
    <w:rsid w:val="00C13095"/>
    <w:rsid w:val="00C20F98"/>
    <w:rsid w:val="00C307AE"/>
    <w:rsid w:val="00C34DEB"/>
    <w:rsid w:val="00C571A7"/>
    <w:rsid w:val="00C62041"/>
    <w:rsid w:val="00C85D77"/>
    <w:rsid w:val="00C87E5D"/>
    <w:rsid w:val="00C93C68"/>
    <w:rsid w:val="00C941BC"/>
    <w:rsid w:val="00CA1015"/>
    <w:rsid w:val="00CA299B"/>
    <w:rsid w:val="00CC1F4A"/>
    <w:rsid w:val="00CC60EA"/>
    <w:rsid w:val="00CD0B82"/>
    <w:rsid w:val="00CF09F3"/>
    <w:rsid w:val="00D30840"/>
    <w:rsid w:val="00D3288F"/>
    <w:rsid w:val="00D42FF9"/>
    <w:rsid w:val="00D566D7"/>
    <w:rsid w:val="00D57EB3"/>
    <w:rsid w:val="00D62EA4"/>
    <w:rsid w:val="00D709EE"/>
    <w:rsid w:val="00DB290D"/>
    <w:rsid w:val="00DD5202"/>
    <w:rsid w:val="00DD64F5"/>
    <w:rsid w:val="00DD6948"/>
    <w:rsid w:val="00E03DBB"/>
    <w:rsid w:val="00E05796"/>
    <w:rsid w:val="00E15E1C"/>
    <w:rsid w:val="00E20177"/>
    <w:rsid w:val="00E35AA4"/>
    <w:rsid w:val="00E37ECF"/>
    <w:rsid w:val="00E97021"/>
    <w:rsid w:val="00E978CC"/>
    <w:rsid w:val="00EA014B"/>
    <w:rsid w:val="00ED4DEB"/>
    <w:rsid w:val="00ED6170"/>
    <w:rsid w:val="00F16AC8"/>
    <w:rsid w:val="00F22A1E"/>
    <w:rsid w:val="00F26369"/>
    <w:rsid w:val="00F31561"/>
    <w:rsid w:val="00F328CD"/>
    <w:rsid w:val="00F435E1"/>
    <w:rsid w:val="00F718A0"/>
    <w:rsid w:val="00F71BF6"/>
    <w:rsid w:val="00F82AAF"/>
    <w:rsid w:val="00F9168F"/>
    <w:rsid w:val="00FA460F"/>
    <w:rsid w:val="00FA5E86"/>
    <w:rsid w:val="00FD06E9"/>
    <w:rsid w:val="00FD3B7D"/>
    <w:rsid w:val="00FD4BB4"/>
    <w:rsid w:val="00FE5CCE"/>
    <w:rsid w:val="00FE626B"/>
    <w:rsid w:val="00FF47F4"/>
    <w:rsid w:val="010F2C79"/>
    <w:rsid w:val="011D723B"/>
    <w:rsid w:val="0180460C"/>
    <w:rsid w:val="019F0EF6"/>
    <w:rsid w:val="023B042D"/>
    <w:rsid w:val="025E59AA"/>
    <w:rsid w:val="026B6CB2"/>
    <w:rsid w:val="029307AF"/>
    <w:rsid w:val="02B04C50"/>
    <w:rsid w:val="02D2724D"/>
    <w:rsid w:val="033B2485"/>
    <w:rsid w:val="034B4106"/>
    <w:rsid w:val="03593C27"/>
    <w:rsid w:val="03850F0A"/>
    <w:rsid w:val="04DD7D0E"/>
    <w:rsid w:val="04EF0EBA"/>
    <w:rsid w:val="05146811"/>
    <w:rsid w:val="055A7363"/>
    <w:rsid w:val="05692B22"/>
    <w:rsid w:val="05E07758"/>
    <w:rsid w:val="067F6A05"/>
    <w:rsid w:val="07822663"/>
    <w:rsid w:val="07ED7042"/>
    <w:rsid w:val="085B1D6F"/>
    <w:rsid w:val="08D710E1"/>
    <w:rsid w:val="0932260E"/>
    <w:rsid w:val="093550BB"/>
    <w:rsid w:val="09497E1A"/>
    <w:rsid w:val="09686362"/>
    <w:rsid w:val="09771111"/>
    <w:rsid w:val="09CB082F"/>
    <w:rsid w:val="0A01263D"/>
    <w:rsid w:val="0A48692C"/>
    <w:rsid w:val="0A613847"/>
    <w:rsid w:val="0A667025"/>
    <w:rsid w:val="0A6C2705"/>
    <w:rsid w:val="0B2D79F3"/>
    <w:rsid w:val="0B7A5D95"/>
    <w:rsid w:val="0C7C6B22"/>
    <w:rsid w:val="0D192328"/>
    <w:rsid w:val="0D742DF1"/>
    <w:rsid w:val="0D811BCF"/>
    <w:rsid w:val="0DB241E0"/>
    <w:rsid w:val="0DEF3C89"/>
    <w:rsid w:val="0E2F5FFF"/>
    <w:rsid w:val="0E9F5658"/>
    <w:rsid w:val="0EE303C9"/>
    <w:rsid w:val="0F283D96"/>
    <w:rsid w:val="0F8B2784"/>
    <w:rsid w:val="105351A2"/>
    <w:rsid w:val="10577F97"/>
    <w:rsid w:val="111A6E46"/>
    <w:rsid w:val="1154173C"/>
    <w:rsid w:val="11C25632"/>
    <w:rsid w:val="11D96D94"/>
    <w:rsid w:val="122B3102"/>
    <w:rsid w:val="12F069E9"/>
    <w:rsid w:val="12F11027"/>
    <w:rsid w:val="133D279D"/>
    <w:rsid w:val="13754D82"/>
    <w:rsid w:val="13AE1F3B"/>
    <w:rsid w:val="13B73411"/>
    <w:rsid w:val="13CC3E1E"/>
    <w:rsid w:val="13E17686"/>
    <w:rsid w:val="143C28F6"/>
    <w:rsid w:val="14436EA8"/>
    <w:rsid w:val="14591A0E"/>
    <w:rsid w:val="14860BF1"/>
    <w:rsid w:val="157B7989"/>
    <w:rsid w:val="15802E15"/>
    <w:rsid w:val="15AA3169"/>
    <w:rsid w:val="15FF306C"/>
    <w:rsid w:val="16467324"/>
    <w:rsid w:val="167504A0"/>
    <w:rsid w:val="1765105F"/>
    <w:rsid w:val="17C70110"/>
    <w:rsid w:val="180D7890"/>
    <w:rsid w:val="19294C0B"/>
    <w:rsid w:val="19A4072D"/>
    <w:rsid w:val="1A2A2FFC"/>
    <w:rsid w:val="1AA03612"/>
    <w:rsid w:val="1AA7482F"/>
    <w:rsid w:val="1AB74248"/>
    <w:rsid w:val="1AEA05DF"/>
    <w:rsid w:val="1B0555B5"/>
    <w:rsid w:val="1B1C538E"/>
    <w:rsid w:val="1BBA70EA"/>
    <w:rsid w:val="1C3F4120"/>
    <w:rsid w:val="1C485D0F"/>
    <w:rsid w:val="1C4A7CD9"/>
    <w:rsid w:val="1D1C78C7"/>
    <w:rsid w:val="1DB80A1F"/>
    <w:rsid w:val="1DCD6828"/>
    <w:rsid w:val="1DF223D6"/>
    <w:rsid w:val="1E962E2C"/>
    <w:rsid w:val="1F364065"/>
    <w:rsid w:val="1FC72E9A"/>
    <w:rsid w:val="200F5F18"/>
    <w:rsid w:val="206718C3"/>
    <w:rsid w:val="208D7F5E"/>
    <w:rsid w:val="210D2CB1"/>
    <w:rsid w:val="215A237F"/>
    <w:rsid w:val="219C4485"/>
    <w:rsid w:val="22A1166E"/>
    <w:rsid w:val="23832C42"/>
    <w:rsid w:val="238C68D9"/>
    <w:rsid w:val="25227EA9"/>
    <w:rsid w:val="25283D1B"/>
    <w:rsid w:val="25286BFC"/>
    <w:rsid w:val="25700B6C"/>
    <w:rsid w:val="25CD4E9E"/>
    <w:rsid w:val="2610789E"/>
    <w:rsid w:val="2621554B"/>
    <w:rsid w:val="262F0A4C"/>
    <w:rsid w:val="265A1BB4"/>
    <w:rsid w:val="26DA3033"/>
    <w:rsid w:val="28AD40F4"/>
    <w:rsid w:val="28ED60D4"/>
    <w:rsid w:val="28F9175A"/>
    <w:rsid w:val="28FC7C1A"/>
    <w:rsid w:val="291A4E2F"/>
    <w:rsid w:val="29606D8E"/>
    <w:rsid w:val="296930F2"/>
    <w:rsid w:val="296C74E1"/>
    <w:rsid w:val="29B64C00"/>
    <w:rsid w:val="2A227790"/>
    <w:rsid w:val="2A4C3A21"/>
    <w:rsid w:val="2A580712"/>
    <w:rsid w:val="2B0459C6"/>
    <w:rsid w:val="2B6B072A"/>
    <w:rsid w:val="2C2C73FB"/>
    <w:rsid w:val="2C520C10"/>
    <w:rsid w:val="2CA50EF2"/>
    <w:rsid w:val="2CDC2B8B"/>
    <w:rsid w:val="2CE6368C"/>
    <w:rsid w:val="2DDB7DBD"/>
    <w:rsid w:val="2E370B47"/>
    <w:rsid w:val="2EE930F3"/>
    <w:rsid w:val="2F363FD6"/>
    <w:rsid w:val="2F5A078D"/>
    <w:rsid w:val="2F745341"/>
    <w:rsid w:val="2F793E74"/>
    <w:rsid w:val="2FE204FD"/>
    <w:rsid w:val="2FED67F0"/>
    <w:rsid w:val="30FD2F75"/>
    <w:rsid w:val="31086BD1"/>
    <w:rsid w:val="315D0ECD"/>
    <w:rsid w:val="321A1044"/>
    <w:rsid w:val="32425B98"/>
    <w:rsid w:val="32FA1C32"/>
    <w:rsid w:val="330427FC"/>
    <w:rsid w:val="341C5D39"/>
    <w:rsid w:val="343D58A1"/>
    <w:rsid w:val="3457130E"/>
    <w:rsid w:val="34A46413"/>
    <w:rsid w:val="36AE2201"/>
    <w:rsid w:val="37137350"/>
    <w:rsid w:val="373553B6"/>
    <w:rsid w:val="37756AB3"/>
    <w:rsid w:val="37764CBD"/>
    <w:rsid w:val="378C30BB"/>
    <w:rsid w:val="37E170D4"/>
    <w:rsid w:val="37F0752F"/>
    <w:rsid w:val="3841400E"/>
    <w:rsid w:val="384B7486"/>
    <w:rsid w:val="389F5BCA"/>
    <w:rsid w:val="3A0073A2"/>
    <w:rsid w:val="3A3C784F"/>
    <w:rsid w:val="3A922B1F"/>
    <w:rsid w:val="3AA04C37"/>
    <w:rsid w:val="3B2E16A9"/>
    <w:rsid w:val="3BB571BF"/>
    <w:rsid w:val="3BC56053"/>
    <w:rsid w:val="3C0362E5"/>
    <w:rsid w:val="3C30228F"/>
    <w:rsid w:val="3C6957BF"/>
    <w:rsid w:val="3CA50EEA"/>
    <w:rsid w:val="3CF47533"/>
    <w:rsid w:val="3D605157"/>
    <w:rsid w:val="3D6E6BA4"/>
    <w:rsid w:val="3DAD3FBE"/>
    <w:rsid w:val="3E074B07"/>
    <w:rsid w:val="3E6D7B0C"/>
    <w:rsid w:val="3EEC56D1"/>
    <w:rsid w:val="3F0B5DBE"/>
    <w:rsid w:val="3F0E7575"/>
    <w:rsid w:val="3F2C7B93"/>
    <w:rsid w:val="3F5E2DF9"/>
    <w:rsid w:val="3F636838"/>
    <w:rsid w:val="3F815008"/>
    <w:rsid w:val="40147B22"/>
    <w:rsid w:val="409B1A96"/>
    <w:rsid w:val="415B1B90"/>
    <w:rsid w:val="41742367"/>
    <w:rsid w:val="41CE6B33"/>
    <w:rsid w:val="425B0980"/>
    <w:rsid w:val="42780DDD"/>
    <w:rsid w:val="427D58A7"/>
    <w:rsid w:val="42B74C80"/>
    <w:rsid w:val="42BE5066"/>
    <w:rsid w:val="433D7A78"/>
    <w:rsid w:val="4349216B"/>
    <w:rsid w:val="43B64C47"/>
    <w:rsid w:val="45C53DA9"/>
    <w:rsid w:val="45E662F8"/>
    <w:rsid w:val="463336E0"/>
    <w:rsid w:val="469E3770"/>
    <w:rsid w:val="46C16C66"/>
    <w:rsid w:val="46D04693"/>
    <w:rsid w:val="47460F19"/>
    <w:rsid w:val="478D6A3C"/>
    <w:rsid w:val="482B4558"/>
    <w:rsid w:val="486C0E54"/>
    <w:rsid w:val="487526CC"/>
    <w:rsid w:val="4913307D"/>
    <w:rsid w:val="49521DF7"/>
    <w:rsid w:val="495F27A1"/>
    <w:rsid w:val="499F2B63"/>
    <w:rsid w:val="49C34D17"/>
    <w:rsid w:val="4A052BDC"/>
    <w:rsid w:val="4A8915B8"/>
    <w:rsid w:val="4A944A26"/>
    <w:rsid w:val="4A995804"/>
    <w:rsid w:val="4B101774"/>
    <w:rsid w:val="4B975426"/>
    <w:rsid w:val="4C017B05"/>
    <w:rsid w:val="4C397865"/>
    <w:rsid w:val="4CCC3B4A"/>
    <w:rsid w:val="4D49056B"/>
    <w:rsid w:val="4D81330C"/>
    <w:rsid w:val="4DAD6D49"/>
    <w:rsid w:val="4DD26EF3"/>
    <w:rsid w:val="4DDD4E6D"/>
    <w:rsid w:val="4E2A50F1"/>
    <w:rsid w:val="4E594465"/>
    <w:rsid w:val="4E6F0C06"/>
    <w:rsid w:val="4F464194"/>
    <w:rsid w:val="4F510757"/>
    <w:rsid w:val="4F946E6D"/>
    <w:rsid w:val="4FDB37F4"/>
    <w:rsid w:val="502649D0"/>
    <w:rsid w:val="5094715E"/>
    <w:rsid w:val="50B603AB"/>
    <w:rsid w:val="50BC5616"/>
    <w:rsid w:val="50FA67BE"/>
    <w:rsid w:val="51542485"/>
    <w:rsid w:val="5215447D"/>
    <w:rsid w:val="522474FD"/>
    <w:rsid w:val="53245E3A"/>
    <w:rsid w:val="53CE2DA2"/>
    <w:rsid w:val="53E72A96"/>
    <w:rsid w:val="54A232F5"/>
    <w:rsid w:val="5656536A"/>
    <w:rsid w:val="56A833F9"/>
    <w:rsid w:val="575104C8"/>
    <w:rsid w:val="58715890"/>
    <w:rsid w:val="58CE22EB"/>
    <w:rsid w:val="593772D0"/>
    <w:rsid w:val="59A33A0D"/>
    <w:rsid w:val="5AB77983"/>
    <w:rsid w:val="5AF14157"/>
    <w:rsid w:val="5B587C31"/>
    <w:rsid w:val="5B5B606B"/>
    <w:rsid w:val="5B9A4115"/>
    <w:rsid w:val="5B9F1982"/>
    <w:rsid w:val="5D090FE8"/>
    <w:rsid w:val="5D0B4EFB"/>
    <w:rsid w:val="5D1C0BD9"/>
    <w:rsid w:val="5D373C4B"/>
    <w:rsid w:val="5D5F6439"/>
    <w:rsid w:val="5D75771C"/>
    <w:rsid w:val="5DAB1E3A"/>
    <w:rsid w:val="5DD24E5D"/>
    <w:rsid w:val="5F805BD9"/>
    <w:rsid w:val="5F8454CE"/>
    <w:rsid w:val="5FC07EA8"/>
    <w:rsid w:val="5FE115EF"/>
    <w:rsid w:val="60367B2B"/>
    <w:rsid w:val="61500960"/>
    <w:rsid w:val="61B722C3"/>
    <w:rsid w:val="61D01DD2"/>
    <w:rsid w:val="62046A6B"/>
    <w:rsid w:val="62257D7B"/>
    <w:rsid w:val="62BC60DF"/>
    <w:rsid w:val="62C2643F"/>
    <w:rsid w:val="631A4D27"/>
    <w:rsid w:val="634E142A"/>
    <w:rsid w:val="63C33BC6"/>
    <w:rsid w:val="63E105CA"/>
    <w:rsid w:val="64F67EE8"/>
    <w:rsid w:val="65402D12"/>
    <w:rsid w:val="658147AB"/>
    <w:rsid w:val="65AA7E46"/>
    <w:rsid w:val="65EE70DA"/>
    <w:rsid w:val="661A232A"/>
    <w:rsid w:val="6632293D"/>
    <w:rsid w:val="6686173D"/>
    <w:rsid w:val="66D11982"/>
    <w:rsid w:val="67386806"/>
    <w:rsid w:val="675D094C"/>
    <w:rsid w:val="67B61CC7"/>
    <w:rsid w:val="68B91D73"/>
    <w:rsid w:val="690B4321"/>
    <w:rsid w:val="699A7177"/>
    <w:rsid w:val="69AD6A82"/>
    <w:rsid w:val="6A162A44"/>
    <w:rsid w:val="6A243D68"/>
    <w:rsid w:val="6A455DFD"/>
    <w:rsid w:val="6A48378D"/>
    <w:rsid w:val="6B091F05"/>
    <w:rsid w:val="6B450778"/>
    <w:rsid w:val="6BF85B87"/>
    <w:rsid w:val="6C1D55C6"/>
    <w:rsid w:val="6CCC5F78"/>
    <w:rsid w:val="6D26555E"/>
    <w:rsid w:val="6D697D36"/>
    <w:rsid w:val="6E7855AD"/>
    <w:rsid w:val="6E8D052E"/>
    <w:rsid w:val="6E982293"/>
    <w:rsid w:val="6EC54776"/>
    <w:rsid w:val="6EC66318"/>
    <w:rsid w:val="6EC97FDE"/>
    <w:rsid w:val="6EE1655E"/>
    <w:rsid w:val="6F063E1D"/>
    <w:rsid w:val="6F6A1399"/>
    <w:rsid w:val="6FF30F58"/>
    <w:rsid w:val="70494955"/>
    <w:rsid w:val="70AA1185"/>
    <w:rsid w:val="70F040A8"/>
    <w:rsid w:val="722001CA"/>
    <w:rsid w:val="73712DD3"/>
    <w:rsid w:val="73921146"/>
    <w:rsid w:val="73972063"/>
    <w:rsid w:val="73DB4E1F"/>
    <w:rsid w:val="740B13C3"/>
    <w:rsid w:val="745C422F"/>
    <w:rsid w:val="74A751D7"/>
    <w:rsid w:val="74A83D3F"/>
    <w:rsid w:val="74B9039C"/>
    <w:rsid w:val="757575F0"/>
    <w:rsid w:val="75B66837"/>
    <w:rsid w:val="761A7171"/>
    <w:rsid w:val="762F4835"/>
    <w:rsid w:val="763D3A86"/>
    <w:rsid w:val="76746FA2"/>
    <w:rsid w:val="76924EF4"/>
    <w:rsid w:val="76E210CD"/>
    <w:rsid w:val="77737AF1"/>
    <w:rsid w:val="77F35E7A"/>
    <w:rsid w:val="781A3F3B"/>
    <w:rsid w:val="78C132E5"/>
    <w:rsid w:val="792E7917"/>
    <w:rsid w:val="793F363C"/>
    <w:rsid w:val="797252E7"/>
    <w:rsid w:val="79A76C99"/>
    <w:rsid w:val="79EC1FD7"/>
    <w:rsid w:val="7A28257D"/>
    <w:rsid w:val="7AF0727B"/>
    <w:rsid w:val="7B0C77A9"/>
    <w:rsid w:val="7C617072"/>
    <w:rsid w:val="7CE5463C"/>
    <w:rsid w:val="7D2124A7"/>
    <w:rsid w:val="7D6F41A2"/>
    <w:rsid w:val="7DC52EA5"/>
    <w:rsid w:val="7DF02012"/>
    <w:rsid w:val="7E510534"/>
    <w:rsid w:val="7F16256D"/>
    <w:rsid w:val="7FD21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uiPriority="99" w:name="heading 2"/>
    <w:lsdException w:qFormat="1" w:unhideWhenUsed="0" w:uiPriority="0" w:semiHidden="0" w:name="heading 3"/>
    <w:lsdException w:qFormat="1" w:unhideWhenUsed="0" w:uiPriority="0" w:semiHidden="0" w:name="heading 4"/>
    <w:lsdException w:qFormat="1" w:unhideWhenUsed="0" w:uiPriority="0" w:semiHidden="0"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qFormat="1" w:unhideWhenUsed="0" w:uiPriority="0" w:semiHidden="0" w:name="toc 3"/>
    <w:lsdException w:qFormat="1" w:unhideWhenUsed="0" w:uiPriority="0" w:semiHidden="0" w:name="toc 4"/>
    <w:lsdException w:qFormat="1" w:unhideWhenUsed="0" w:uiPriority="0" w:semiHidden="0"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99" w:semiHidden="0" w:name="List Number"/>
    <w:lsdException w:uiPriority="99" w:name="List 2"/>
    <w:lsdException w:uiPriority="99" w:name="List 3"/>
    <w:lsdException w:unhideWhenUsed="0" w:uiPriority="99" w:semiHidden="0" w:name="List 4"/>
    <w:lsdException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autoRedefine/>
    <w:qFormat/>
    <w:uiPriority w:val="99"/>
    <w:pPr>
      <w:keepNext/>
      <w:keepLines/>
      <w:spacing w:line="360" w:lineRule="auto"/>
      <w:outlineLvl w:val="0"/>
    </w:pPr>
    <w:rPr>
      <w:rFonts w:eastAsia="黑体"/>
      <w:b/>
      <w:bCs/>
      <w:kern w:val="44"/>
      <w:sz w:val="44"/>
      <w:szCs w:val="44"/>
      <w:lang w:val="zh-CN"/>
    </w:rPr>
  </w:style>
  <w:style w:type="paragraph" w:styleId="3">
    <w:name w:val="heading 3"/>
    <w:basedOn w:val="1"/>
    <w:autoRedefine/>
    <w:qFormat/>
    <w:uiPriority w:val="0"/>
    <w:pPr>
      <w:spacing w:line="413" w:lineRule="auto"/>
      <w:ind w:firstLine="480" w:firstLineChars="200"/>
      <w:jc w:val="left"/>
      <w:outlineLvl w:val="2"/>
    </w:pPr>
    <w:rPr>
      <w:bCs/>
      <w:sz w:val="24"/>
      <w:szCs w:val="24"/>
    </w:rPr>
  </w:style>
  <w:style w:type="paragraph" w:styleId="4">
    <w:name w:val="heading 4"/>
    <w:basedOn w:val="1"/>
    <w:autoRedefine/>
    <w:qFormat/>
    <w:uiPriority w:val="0"/>
    <w:pPr>
      <w:keepNext/>
      <w:keepLines/>
      <w:spacing w:line="372" w:lineRule="auto"/>
      <w:outlineLvl w:val="3"/>
    </w:pPr>
    <w:rPr>
      <w:rFonts w:ascii="Cambria" w:hAnsi="Cambria"/>
      <w:b/>
      <w:bCs/>
      <w:sz w:val="28"/>
      <w:szCs w:val="28"/>
    </w:rPr>
  </w:style>
  <w:style w:type="paragraph" w:styleId="5">
    <w:name w:val="heading 5"/>
    <w:basedOn w:val="1"/>
    <w:autoRedefine/>
    <w:qFormat/>
    <w:uiPriority w:val="0"/>
    <w:pPr>
      <w:keepNext/>
      <w:keepLines/>
      <w:spacing w:line="372" w:lineRule="auto"/>
      <w:outlineLvl w:val="4"/>
    </w:pPr>
    <w:rPr>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8"/>
    <w:autoRedefine/>
    <w:qFormat/>
    <w:uiPriority w:val="0"/>
    <w:pPr>
      <w:jc w:val="left"/>
    </w:pPr>
  </w:style>
  <w:style w:type="paragraph" w:styleId="7">
    <w:name w:val="Body Text"/>
    <w:basedOn w:val="1"/>
    <w:autoRedefine/>
    <w:qFormat/>
    <w:uiPriority w:val="0"/>
    <w:pPr>
      <w:adjustRightInd w:val="0"/>
      <w:spacing w:line="360" w:lineRule="atLeast"/>
      <w:ind w:left="72" w:leftChars="30" w:right="30" w:rightChars="30"/>
      <w:jc w:val="center"/>
    </w:pPr>
    <w:rPr>
      <w:rFonts w:ascii="Times New Roman" w:hAnsi="Times New Roman"/>
      <w:kern w:val="0"/>
      <w:sz w:val="20"/>
      <w:szCs w:val="20"/>
    </w:rPr>
  </w:style>
  <w:style w:type="paragraph" w:styleId="8">
    <w:name w:val="Body Text Indent"/>
    <w:basedOn w:val="1"/>
    <w:link w:val="33"/>
    <w:autoRedefine/>
    <w:qFormat/>
    <w:uiPriority w:val="0"/>
    <w:pPr>
      <w:ind w:firstLine="830" w:firstLineChars="352"/>
    </w:pPr>
    <w:rPr>
      <w:rFonts w:ascii="仿宋_GB2312" w:eastAsia="仿宋_GB2312"/>
      <w:kern w:val="0"/>
      <w:sz w:val="32"/>
      <w:szCs w:val="20"/>
    </w:rPr>
  </w:style>
  <w:style w:type="paragraph" w:styleId="9">
    <w:name w:val="toc 5"/>
    <w:basedOn w:val="1"/>
    <w:autoRedefine/>
    <w:qFormat/>
    <w:uiPriority w:val="0"/>
    <w:pPr>
      <w:tabs>
        <w:tab w:val="right" w:leader="dot" w:pos="8296"/>
      </w:tabs>
      <w:ind w:left="1050" w:leftChars="500"/>
    </w:pPr>
  </w:style>
  <w:style w:type="paragraph" w:styleId="10">
    <w:name w:val="toc 3"/>
    <w:basedOn w:val="1"/>
    <w:autoRedefine/>
    <w:qFormat/>
    <w:uiPriority w:val="0"/>
    <w:pPr>
      <w:ind w:left="840" w:leftChars="400"/>
    </w:pPr>
  </w:style>
  <w:style w:type="paragraph" w:styleId="11">
    <w:name w:val="Plain Text"/>
    <w:basedOn w:val="1"/>
    <w:link w:val="36"/>
    <w:autoRedefine/>
    <w:qFormat/>
    <w:uiPriority w:val="99"/>
    <w:rPr>
      <w:rFonts w:ascii="宋体" w:hAnsi="Courier New" w:cs="Courier New"/>
      <w:szCs w:val="21"/>
    </w:rPr>
  </w:style>
  <w:style w:type="paragraph" w:styleId="12">
    <w:name w:val="Balloon Text"/>
    <w:basedOn w:val="1"/>
    <w:link w:val="30"/>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toc 4"/>
    <w:basedOn w:val="1"/>
    <w:autoRedefine/>
    <w:qFormat/>
    <w:uiPriority w:val="0"/>
    <w:pPr>
      <w:tabs>
        <w:tab w:val="left" w:pos="1890"/>
        <w:tab w:val="right" w:leader="dot" w:pos="8296"/>
      </w:tabs>
      <w:ind w:left="630" w:leftChars="300"/>
    </w:pPr>
  </w:style>
  <w:style w:type="paragraph" w:styleId="16">
    <w:name w:val="Normal (Web)"/>
    <w:basedOn w:val="1"/>
    <w:autoRedefine/>
    <w:qFormat/>
    <w:uiPriority w:val="0"/>
    <w:rPr>
      <w:sz w:val="24"/>
    </w:rPr>
  </w:style>
  <w:style w:type="paragraph" w:styleId="17">
    <w:name w:val="annotation subject"/>
    <w:basedOn w:val="6"/>
    <w:link w:val="29"/>
    <w:autoRedefine/>
    <w:qFormat/>
    <w:uiPriority w:val="0"/>
    <w:rPr>
      <w:b/>
      <w:bCs/>
    </w:rPr>
  </w:style>
  <w:style w:type="paragraph" w:styleId="18">
    <w:name w:val="Body Text First Indent 2"/>
    <w:basedOn w:val="8"/>
    <w:link w:val="34"/>
    <w:autoRedefine/>
    <w:qFormat/>
    <w:uiPriority w:val="0"/>
    <w:pPr>
      <w:spacing w:after="120"/>
      <w:ind w:left="420" w:leftChars="200" w:firstLine="210" w:firstLineChars="200"/>
    </w:pPr>
    <w:rPr>
      <w:rFonts w:ascii="宋体" w:hAnsi="宋体"/>
      <w:kern w:val="2"/>
      <w:sz w:val="28"/>
    </w:rPr>
  </w:style>
  <w:style w:type="character" w:styleId="21">
    <w:name w:val="Hyperlink"/>
    <w:qFormat/>
    <w:uiPriority w:val="0"/>
    <w:rPr>
      <w:rFonts w:cs="Times New Roman"/>
      <w:color w:val="0000FF"/>
      <w:u w:val="single"/>
    </w:rPr>
  </w:style>
  <w:style w:type="character" w:styleId="22">
    <w:name w:val="annotation reference"/>
    <w:basedOn w:val="20"/>
    <w:qFormat/>
    <w:uiPriority w:val="0"/>
    <w:rPr>
      <w:sz w:val="21"/>
      <w:szCs w:val="21"/>
    </w:rPr>
  </w:style>
  <w:style w:type="paragraph" w:customStyle="1" w:styleId="23">
    <w:name w:val="正文1"/>
    <w:qFormat/>
    <w:uiPriority w:val="0"/>
    <w:rPr>
      <w:rFonts w:ascii="Times New Roman" w:hAnsi="Times New Roman" w:eastAsia="Times New Roman" w:cs="Times New Roman"/>
      <w:sz w:val="24"/>
      <w:szCs w:val="24"/>
      <w:lang w:val="en-US" w:eastAsia="zh-CN" w:bidi="ar-SA"/>
    </w:rPr>
  </w:style>
  <w:style w:type="paragraph" w:customStyle="1" w:styleId="24">
    <w:name w:val="Div_MsoNormal ParagraphIndent"/>
    <w:basedOn w:val="23"/>
    <w:qFormat/>
    <w:uiPriority w:val="0"/>
    <w:rPr>
      <w:rFonts w:ascii="宋体" w:hAnsi="宋体" w:eastAsia="宋体" w:cs="宋体"/>
      <w:sz w:val="21"/>
    </w:rPr>
  </w:style>
  <w:style w:type="paragraph" w:customStyle="1" w:styleId="25">
    <w:name w:val="Div_MsoNormal  ParagraphIndent"/>
    <w:basedOn w:val="23"/>
    <w:qFormat/>
    <w:uiPriority w:val="0"/>
    <w:rPr>
      <w:rFonts w:ascii="宋体" w:hAnsi="宋体" w:eastAsia="宋体" w:cs="宋体"/>
      <w:sz w:val="21"/>
    </w:rPr>
  </w:style>
  <w:style w:type="paragraph" w:customStyle="1" w:styleId="26">
    <w:name w:val="_Style 6"/>
    <w:basedOn w:val="2"/>
    <w:autoRedefine/>
    <w:qFormat/>
    <w:uiPriority w:val="0"/>
    <w:pPr>
      <w:outlineLvl w:val="9"/>
    </w:pPr>
  </w:style>
  <w:style w:type="paragraph" w:customStyle="1" w:styleId="27">
    <w:name w:val="次段落1"/>
    <w:basedOn w:val="1"/>
    <w:qFormat/>
    <w:uiPriority w:val="0"/>
    <w:pPr>
      <w:tabs>
        <w:tab w:val="left" w:pos="360"/>
        <w:tab w:val="left" w:pos="840"/>
      </w:tabs>
      <w:spacing w:beforeLines="50" w:line="360" w:lineRule="auto"/>
    </w:pPr>
    <w:rPr>
      <w:rFonts w:ascii="Times New Roman" w:hAnsi="Times New Roman"/>
      <w:sz w:val="24"/>
      <w:szCs w:val="24"/>
    </w:rPr>
  </w:style>
  <w:style w:type="character" w:customStyle="1" w:styleId="28">
    <w:name w:val="批注文字 Char"/>
    <w:basedOn w:val="20"/>
    <w:link w:val="6"/>
    <w:qFormat/>
    <w:uiPriority w:val="0"/>
    <w:rPr>
      <w:rFonts w:ascii="Calibri" w:hAnsi="Calibri"/>
      <w:kern w:val="2"/>
      <w:sz w:val="21"/>
      <w:szCs w:val="22"/>
    </w:rPr>
  </w:style>
  <w:style w:type="character" w:customStyle="1" w:styleId="29">
    <w:name w:val="批注主题 Char"/>
    <w:basedOn w:val="28"/>
    <w:link w:val="17"/>
    <w:qFormat/>
    <w:uiPriority w:val="0"/>
    <w:rPr>
      <w:rFonts w:ascii="Calibri" w:hAnsi="Calibri"/>
      <w:kern w:val="2"/>
      <w:sz w:val="21"/>
      <w:szCs w:val="22"/>
    </w:rPr>
  </w:style>
  <w:style w:type="character" w:customStyle="1" w:styleId="30">
    <w:name w:val="批注框文本 Char"/>
    <w:basedOn w:val="20"/>
    <w:link w:val="12"/>
    <w:qFormat/>
    <w:uiPriority w:val="0"/>
    <w:rPr>
      <w:rFonts w:ascii="Calibri" w:hAnsi="Calibri"/>
      <w:kern w:val="2"/>
      <w:sz w:val="18"/>
      <w:szCs w:val="18"/>
    </w:rPr>
  </w:style>
  <w:style w:type="paragraph" w:styleId="31">
    <w:name w:val="List Paragraph"/>
    <w:basedOn w:val="1"/>
    <w:unhideWhenUsed/>
    <w:qFormat/>
    <w:uiPriority w:val="99"/>
    <w:pPr>
      <w:ind w:firstLine="420" w:firstLineChars="200"/>
    </w:pPr>
  </w:style>
  <w:style w:type="paragraph" w:customStyle="1" w:styleId="32">
    <w:name w:val="表格文字"/>
    <w:basedOn w:val="1"/>
    <w:qFormat/>
    <w:uiPriority w:val="99"/>
    <w:pPr>
      <w:spacing w:before="25" w:after="25"/>
      <w:jc w:val="left"/>
    </w:pPr>
    <w:rPr>
      <w:bCs/>
      <w:spacing w:val="10"/>
      <w:kern w:val="0"/>
      <w:sz w:val="24"/>
    </w:rPr>
  </w:style>
  <w:style w:type="character" w:customStyle="1" w:styleId="33">
    <w:name w:val="正文文本缩进 Char"/>
    <w:basedOn w:val="20"/>
    <w:link w:val="8"/>
    <w:qFormat/>
    <w:uiPriority w:val="0"/>
    <w:rPr>
      <w:rFonts w:hint="default" w:ascii="Calibri" w:hAnsi="Calibri" w:cs="Calibri"/>
      <w:kern w:val="2"/>
      <w:sz w:val="21"/>
      <w:szCs w:val="22"/>
    </w:rPr>
  </w:style>
  <w:style w:type="character" w:customStyle="1" w:styleId="34">
    <w:name w:val="正文首行缩进 2 Char"/>
    <w:basedOn w:val="33"/>
    <w:link w:val="18"/>
    <w:qFormat/>
    <w:uiPriority w:val="0"/>
    <w:rPr>
      <w:rFonts w:hint="default" w:ascii="Calibri" w:hAnsi="Calibri" w:cs="Calibri"/>
      <w:kern w:val="2"/>
      <w:sz w:val="21"/>
      <w:szCs w:val="22"/>
    </w:rPr>
  </w:style>
  <w:style w:type="paragraph" w:customStyle="1" w:styleId="35">
    <w:name w:val="_Style 1"/>
    <w:basedOn w:val="1"/>
    <w:qFormat/>
    <w:uiPriority w:val="99"/>
    <w:pPr>
      <w:ind w:firstLine="420" w:firstLineChars="200"/>
    </w:pPr>
    <w:rPr>
      <w:rFonts w:ascii="Times New Roman" w:hAnsi="Times New Roman"/>
      <w:szCs w:val="20"/>
    </w:rPr>
  </w:style>
  <w:style w:type="character" w:customStyle="1" w:styleId="36">
    <w:name w:val="纯文本 Char"/>
    <w:link w:val="11"/>
    <w:qFormat/>
    <w:uiPriority w:val="99"/>
    <w:rPr>
      <w:rFonts w:ascii="宋体" w:hAnsi="Courier New" w:cs="Courier New"/>
      <w:kern w:val="2"/>
      <w:sz w:val="21"/>
      <w:szCs w:val="21"/>
    </w:rPr>
  </w:style>
  <w:style w:type="character" w:customStyle="1" w:styleId="37">
    <w:name w:val="font31"/>
    <w:basedOn w:val="20"/>
    <w:qFormat/>
    <w:uiPriority w:val="0"/>
    <w:rPr>
      <w:rFonts w:hint="eastAsia" w:ascii="微软雅黑" w:hAnsi="微软雅黑" w:eastAsia="微软雅黑" w:cs="微软雅黑"/>
      <w:color w:val="FF0000"/>
      <w:sz w:val="20"/>
      <w:szCs w:val="20"/>
      <w:u w:val="none"/>
    </w:rPr>
  </w:style>
  <w:style w:type="character" w:customStyle="1" w:styleId="38">
    <w:name w:val="font21"/>
    <w:basedOn w:val="20"/>
    <w:qFormat/>
    <w:uiPriority w:val="0"/>
    <w:rPr>
      <w:rFonts w:hint="eastAsia" w:ascii="微软雅黑" w:hAnsi="微软雅黑" w:eastAsia="微软雅黑" w:cs="微软雅黑"/>
      <w:color w:val="000000"/>
      <w:sz w:val="20"/>
      <w:szCs w:val="20"/>
      <w:u w:val="none"/>
    </w:rPr>
  </w:style>
  <w:style w:type="character" w:customStyle="1" w:styleId="39">
    <w:name w:val="font71"/>
    <w:basedOn w:val="20"/>
    <w:qFormat/>
    <w:uiPriority w:val="0"/>
    <w:rPr>
      <w:rFonts w:hint="default" w:ascii="Times New Roman" w:hAnsi="Times New Roman" w:cs="Times New Roman"/>
      <w:color w:val="000000"/>
      <w:sz w:val="22"/>
      <w:szCs w:val="22"/>
      <w:u w:val="none"/>
      <w:vertAlign w:val="superscript"/>
    </w:rPr>
  </w:style>
  <w:style w:type="table" w:customStyle="1" w:styleId="40">
    <w:name w:val="Table Normal"/>
    <w:semiHidden/>
    <w:unhideWhenUsed/>
    <w:qFormat/>
    <w:uiPriority w:val="0"/>
    <w:tblPr>
      <w:tblCellMar>
        <w:top w:w="0" w:type="dxa"/>
        <w:left w:w="0" w:type="dxa"/>
        <w:bottom w:w="0" w:type="dxa"/>
        <w:right w:w="0" w:type="dxa"/>
      </w:tblCellMar>
    </w:tblPr>
  </w:style>
  <w:style w:type="paragraph" w:customStyle="1" w:styleId="41">
    <w:name w:val="Table Text"/>
    <w:basedOn w:val="1"/>
    <w:semiHidden/>
    <w:qFormat/>
    <w:uiPriority w:val="0"/>
    <w:rPr>
      <w:rFonts w:ascii="Arial" w:hAnsi="Arial" w:eastAsia="Arial" w:cs="Arial"/>
      <w:sz w:val="21"/>
      <w:szCs w:val="21"/>
      <w:lang w:val="en-US" w:eastAsia="en-US" w:bidi="ar-SA"/>
    </w:rPr>
  </w:style>
  <w:style w:type="character" w:customStyle="1" w:styleId="42">
    <w:name w:val="font61"/>
    <w:basedOn w:val="20"/>
    <w:qFormat/>
    <w:uiPriority w:val="0"/>
    <w:rPr>
      <w:rFonts w:hint="default" w:ascii="Times New Roman" w:hAnsi="Times New Roman" w:cs="Times New Roman"/>
      <w:color w:val="000000"/>
      <w:sz w:val="22"/>
      <w:szCs w:val="22"/>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884</Words>
  <Characters>971</Characters>
  <Lines>37</Lines>
  <Paragraphs>10</Paragraphs>
  <TotalTime>29</TotalTime>
  <ScaleCrop>false</ScaleCrop>
  <LinksUpToDate>false</LinksUpToDate>
  <CharactersWithSpaces>971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2024-10-24T08:52:00Z</dcterms:created>
  <dc:creator>麦智德</dc:creator>
  <cp:lastModifiedBy>可爱滴46</cp:lastModifiedBy>
  <dcterms:modified xsi:type="dcterms:W3CDTF">2025-07-16T02:09:27Z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147C2312EDB74E36AEC83BF7F3BDAF52_13</vt:lpwstr>
  </property>
  <property fmtid="{D5CDD505-2E9C-101B-9397-08002B2CF9AE}" pid="4" name="KSOTemplateDocerSaveRecord">
    <vt:lpwstr>eyJoZGlkIjoiNjg0YjRlNWU1MTNmNTNlNDQ0NGVhYTdmNzNlMjllYTEiLCJ1c2VySWQiOiI2MzkwMTA2NDYifQ==</vt:lpwstr>
  </property>
</Properties>
</file>